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61379" w14:textId="77777777" w:rsidR="00B3540D" w:rsidRDefault="00B3540D" w:rsidP="00B3540D"/>
    <w:p w14:paraId="6C55BDDB" w14:textId="77777777" w:rsidR="00B3540D" w:rsidRDefault="00B3540D" w:rsidP="00B3540D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B3540D" w14:paraId="708FF1E5" w14:textId="77777777" w:rsidTr="001239CA">
        <w:tc>
          <w:tcPr>
            <w:tcW w:w="10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615D8A" w14:textId="77777777" w:rsidR="00B3540D" w:rsidRDefault="00B3540D" w:rsidP="001239CA">
            <w:pPr>
              <w:jc w:val="center"/>
              <w:rPr>
                <w:rFonts w:ascii="Calibri" w:hAnsi="Calibri" w:cs="Calibri"/>
                <w:i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sz w:val="28"/>
                <w:szCs w:val="28"/>
              </w:rPr>
              <w:t xml:space="preserve">NAZIV KORISNIKA: </w:t>
            </w:r>
          </w:p>
          <w:p w14:paraId="224E4F07" w14:textId="77777777" w:rsidR="00B3540D" w:rsidRDefault="00B3540D" w:rsidP="001239C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313A757E" w14:textId="77777777" w:rsidR="00B3540D" w:rsidRDefault="00B3540D" w:rsidP="001239CA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UPRAVNI ODJEL ZA PROSTORO UREĐENJE, GRADITELJSTVO I OBNOVU</w:t>
            </w:r>
          </w:p>
          <w:p w14:paraId="2ABA3439" w14:textId="77777777" w:rsidR="00B3540D" w:rsidRDefault="00B3540D" w:rsidP="001239CA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SISAČKO-MOSLAVAČKE ŽUPANIJE</w:t>
            </w:r>
          </w:p>
          <w:p w14:paraId="44723331" w14:textId="77777777" w:rsidR="00B3540D" w:rsidRDefault="00B3540D" w:rsidP="001239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6C22B963" w14:textId="77777777" w:rsidR="00B3540D" w:rsidRDefault="00B3540D" w:rsidP="001239CA">
            <w:pPr>
              <w:jc w:val="center"/>
              <w:rPr>
                <w:rFonts w:ascii="Calibri" w:hAnsi="Calibri" w:cs="Calibri"/>
                <w:i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sz w:val="28"/>
                <w:szCs w:val="28"/>
              </w:rPr>
              <w:t>NAZIV DOKUMENTA:</w:t>
            </w:r>
          </w:p>
          <w:p w14:paraId="0B2EFBF6" w14:textId="77777777" w:rsidR="00B3540D" w:rsidRDefault="00B3540D" w:rsidP="001239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2484BC8C" w14:textId="1A132B1C" w:rsidR="00B3540D" w:rsidRDefault="00B3540D" w:rsidP="001239C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PRORAČUN ZA 2025.GODINU S PROJEKCIJOM ZA 2026. I 2027. </w:t>
            </w:r>
          </w:p>
          <w:p w14:paraId="134218D5" w14:textId="77777777" w:rsidR="00B3540D" w:rsidRDefault="00B3540D" w:rsidP="001239C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(obrazloženje)</w:t>
            </w:r>
          </w:p>
          <w:p w14:paraId="69BF7247" w14:textId="77777777" w:rsidR="00B3540D" w:rsidRDefault="00B3540D" w:rsidP="001239C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</w:tbl>
    <w:p w14:paraId="5D3FD1CE" w14:textId="77777777" w:rsidR="00B3540D" w:rsidRDefault="00B3540D" w:rsidP="00B3540D">
      <w:pPr>
        <w:rPr>
          <w:rFonts w:ascii="Calibri" w:hAnsi="Calibri" w:cs="Calibri"/>
        </w:rPr>
      </w:pPr>
    </w:p>
    <w:p w14:paraId="7460B029" w14:textId="77777777" w:rsidR="00B3540D" w:rsidRDefault="00B3540D" w:rsidP="00B3540D">
      <w:pPr>
        <w:rPr>
          <w:rFonts w:ascii="Calibri" w:hAnsi="Calibri" w:cs="Calibri"/>
        </w:rPr>
      </w:pPr>
    </w:p>
    <w:p w14:paraId="3C531D6A" w14:textId="77777777" w:rsidR="00B3540D" w:rsidRDefault="00B3540D" w:rsidP="00B3540D">
      <w:pPr>
        <w:rPr>
          <w:rFonts w:ascii="Calibri" w:hAnsi="Calibri" w:cs="Calibri"/>
        </w:rPr>
      </w:pPr>
    </w:p>
    <w:p w14:paraId="5B9C438C" w14:textId="77777777" w:rsidR="00B3540D" w:rsidRDefault="00B3540D" w:rsidP="00B3540D">
      <w:pPr>
        <w:rPr>
          <w:rFonts w:ascii="Calibri" w:hAnsi="Calibri" w:cs="Calibri"/>
        </w:rPr>
      </w:pPr>
    </w:p>
    <w:p w14:paraId="14D83C1C" w14:textId="77777777" w:rsidR="00B3540D" w:rsidRDefault="00B3540D" w:rsidP="00B3540D">
      <w:pPr>
        <w:rPr>
          <w:rFonts w:ascii="Calibri" w:hAnsi="Calibri" w:cs="Calibri"/>
          <w:sz w:val="22"/>
          <w:szCs w:val="22"/>
        </w:rPr>
      </w:pPr>
    </w:p>
    <w:p w14:paraId="4686C760" w14:textId="77777777" w:rsidR="00B3540D" w:rsidRDefault="00B3540D" w:rsidP="00B3540D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SADRŽAJ:</w:t>
      </w:r>
    </w:p>
    <w:p w14:paraId="3B9B9979" w14:textId="77777777" w:rsidR="00B3540D" w:rsidRDefault="00B3540D" w:rsidP="00B3540D">
      <w:pPr>
        <w:rPr>
          <w:rFonts w:ascii="Calibri" w:hAnsi="Calibri" w:cs="Calibri"/>
          <w:sz w:val="22"/>
          <w:szCs w:val="22"/>
        </w:rPr>
      </w:pPr>
    </w:p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253"/>
      </w:tblGrid>
      <w:tr w:rsidR="00B3540D" w14:paraId="61DD3EA5" w14:textId="77777777" w:rsidTr="001239CA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B5B8A80" w14:textId="77777777" w:rsidR="00B3540D" w:rsidRDefault="00B3540D" w:rsidP="001239CA">
            <w:pPr>
              <w:pStyle w:val="Bezproreda"/>
              <w:rPr>
                <w:rFonts w:ascii="Calibri" w:hAnsi="Calibri" w:cs="Calibri"/>
                <w:color w:val="4F81BD"/>
                <w:sz w:val="20"/>
                <w:szCs w:val="20"/>
              </w:rPr>
            </w:pPr>
          </w:p>
        </w:tc>
      </w:tr>
    </w:tbl>
    <w:p w14:paraId="7FB91A3A" w14:textId="77777777" w:rsidR="00B3540D" w:rsidRDefault="00B3540D" w:rsidP="00B3540D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Sažetak djelokruga rada i organizacijska struktura Upravnog odjela</w:t>
      </w:r>
    </w:p>
    <w:p w14:paraId="7B301E8D" w14:textId="77777777" w:rsidR="00B3540D" w:rsidRDefault="00B3540D" w:rsidP="00B3540D">
      <w:pPr>
        <w:pStyle w:val="Odlomakpopisa"/>
        <w:ind w:left="0"/>
        <w:rPr>
          <w:rFonts w:ascii="Calibri" w:hAnsi="Calibri" w:cs="Calibri"/>
          <w:sz w:val="22"/>
          <w:szCs w:val="22"/>
        </w:rPr>
      </w:pPr>
    </w:p>
    <w:p w14:paraId="0010EE41" w14:textId="77777777" w:rsidR="00B3540D" w:rsidRDefault="00B3540D" w:rsidP="00B3540D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Zakonske i druge podloge na kojima se zasnivaju programi</w:t>
      </w:r>
    </w:p>
    <w:p w14:paraId="2490DDCD" w14:textId="77777777" w:rsidR="00B3540D" w:rsidRDefault="00B3540D" w:rsidP="00B3540D">
      <w:pPr>
        <w:pStyle w:val="Odlomakpopisa"/>
        <w:rPr>
          <w:rFonts w:ascii="Calibri" w:hAnsi="Calibri" w:cs="Calibri"/>
          <w:sz w:val="22"/>
          <w:szCs w:val="22"/>
        </w:rPr>
      </w:pPr>
    </w:p>
    <w:p w14:paraId="6499BF10" w14:textId="77777777" w:rsidR="00B3540D" w:rsidRDefault="00B3540D" w:rsidP="00B3540D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Usklađenje ciljeva, strategija i programa s dokumentima dugoročnog razvoja</w:t>
      </w:r>
    </w:p>
    <w:p w14:paraId="7943BC20" w14:textId="77777777" w:rsidR="00B3540D" w:rsidRDefault="00B3540D" w:rsidP="00B3540D">
      <w:pPr>
        <w:pStyle w:val="Odlomakpopisa"/>
        <w:rPr>
          <w:rFonts w:ascii="Calibri" w:hAnsi="Calibri" w:cs="Calibri"/>
          <w:sz w:val="22"/>
          <w:szCs w:val="22"/>
        </w:rPr>
      </w:pPr>
    </w:p>
    <w:p w14:paraId="3695065F" w14:textId="77777777" w:rsidR="00B3540D" w:rsidRDefault="00B3540D" w:rsidP="00B3540D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bookmarkStart w:id="0" w:name="_Hlk19876459"/>
      <w:r>
        <w:rPr>
          <w:rFonts w:ascii="Calibri" w:hAnsi="Calibri" w:cs="Calibri"/>
          <w:sz w:val="22"/>
          <w:szCs w:val="22"/>
        </w:rPr>
        <w:t>Ishodišta i pokazatelji na kojima se zasnivaju izračuni i ocjene potrebnih sredstva za provođenje programa</w:t>
      </w:r>
    </w:p>
    <w:bookmarkEnd w:id="0"/>
    <w:p w14:paraId="0E222FF9" w14:textId="77777777" w:rsidR="00B3540D" w:rsidRDefault="00B3540D" w:rsidP="00B3540D">
      <w:pPr>
        <w:pStyle w:val="Odlomakpopisa"/>
        <w:rPr>
          <w:rFonts w:ascii="Calibri" w:hAnsi="Calibri" w:cs="Calibri"/>
          <w:sz w:val="22"/>
          <w:szCs w:val="22"/>
        </w:rPr>
      </w:pPr>
    </w:p>
    <w:p w14:paraId="5097258B" w14:textId="77777777" w:rsidR="00B3540D" w:rsidRDefault="00B3540D" w:rsidP="00B3540D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bookmarkStart w:id="1" w:name="_Hlk21612707"/>
      <w:r>
        <w:rPr>
          <w:rFonts w:ascii="Calibri" w:hAnsi="Calibri" w:cs="Calibri"/>
          <w:sz w:val="22"/>
          <w:szCs w:val="22"/>
        </w:rPr>
        <w:t xml:space="preserve">Izvještaji o postignutim ciljevima i rezultatima programa temeljeni na pokazateljima uspješnosti </w:t>
      </w:r>
    </w:p>
    <w:bookmarkEnd w:id="1"/>
    <w:p w14:paraId="51882747" w14:textId="77777777" w:rsidR="00B3540D" w:rsidRDefault="00B3540D" w:rsidP="00B3540D">
      <w:pPr>
        <w:pStyle w:val="Odlomakpopisa"/>
        <w:rPr>
          <w:rFonts w:ascii="Calibri" w:hAnsi="Calibri" w:cs="Calibri"/>
          <w:sz w:val="22"/>
          <w:szCs w:val="22"/>
        </w:rPr>
      </w:pPr>
    </w:p>
    <w:p w14:paraId="6F57AA34" w14:textId="5795AAFD" w:rsidR="00B3540D" w:rsidRDefault="00B3540D" w:rsidP="00B3540D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Prijedlog proračuna za 2025. godinu s projekcijama za 2026. i 2027. godinu s obrazloženjem</w:t>
      </w:r>
    </w:p>
    <w:p w14:paraId="11297DD0" w14:textId="77777777" w:rsidR="00B3540D" w:rsidRDefault="00B3540D" w:rsidP="00B3540D">
      <w:pPr>
        <w:pStyle w:val="Odlomakpopisa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630ED7">
        <w:rPr>
          <w:rFonts w:ascii="Calibri" w:hAnsi="Calibri" w:cs="Calibri"/>
          <w:sz w:val="22"/>
          <w:szCs w:val="22"/>
        </w:rPr>
        <w:t>Obrazloženje posebnog dijela proračuna Upravnog odjela</w:t>
      </w:r>
    </w:p>
    <w:p w14:paraId="7FCC3DD8" w14:textId="77777777" w:rsidR="00B3540D" w:rsidRPr="00630ED7" w:rsidRDefault="00B3540D" w:rsidP="00B3540D">
      <w:pPr>
        <w:pStyle w:val="Odlomakpopisa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630ED7">
        <w:rPr>
          <w:rFonts w:ascii="Calibri" w:hAnsi="Calibri" w:cs="Calibri"/>
          <w:sz w:val="22"/>
          <w:szCs w:val="22"/>
        </w:rPr>
        <w:t>Obrazloženje posebnog dijela proračuna proračunskog korisnika -Zavoda za prostorno uređenje</w:t>
      </w:r>
    </w:p>
    <w:p w14:paraId="596D8AE4" w14:textId="77777777" w:rsidR="00B3540D" w:rsidRDefault="00B3540D" w:rsidP="00B3540D">
      <w:pPr>
        <w:pStyle w:val="Odlomakpopisa"/>
        <w:rPr>
          <w:rFonts w:ascii="Calibri" w:hAnsi="Calibri" w:cs="Calibri"/>
          <w:sz w:val="22"/>
          <w:szCs w:val="22"/>
        </w:rPr>
      </w:pPr>
    </w:p>
    <w:p w14:paraId="5A763DBE" w14:textId="77777777" w:rsidR="00B3540D" w:rsidRDefault="00B3540D" w:rsidP="00B3540D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52B97F7" w14:textId="77777777" w:rsidR="00B3540D" w:rsidRDefault="00B3540D" w:rsidP="00B3540D">
      <w:pPr>
        <w:pStyle w:val="Odlomakpopisa"/>
        <w:rPr>
          <w:rFonts w:ascii="Calibri" w:hAnsi="Calibri" w:cs="Calibri"/>
          <w:sz w:val="22"/>
          <w:szCs w:val="22"/>
        </w:rPr>
      </w:pPr>
    </w:p>
    <w:p w14:paraId="74718E75" w14:textId="77777777" w:rsidR="00B3540D" w:rsidRDefault="00B3540D" w:rsidP="00B3540D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43731364" w14:textId="77777777" w:rsidR="00B3540D" w:rsidRDefault="00B3540D" w:rsidP="00B3540D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30BBCAF5" w14:textId="77777777" w:rsidR="00B3540D" w:rsidRDefault="00B3540D" w:rsidP="00B3540D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2F65D480" w14:textId="77777777" w:rsidR="00B3540D" w:rsidRDefault="00B3540D" w:rsidP="00B3540D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7095EE84" w14:textId="77777777" w:rsidR="00B3540D" w:rsidRDefault="00B3540D" w:rsidP="00B3540D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42EC2AC0" w14:textId="77777777" w:rsidR="00B3540D" w:rsidRDefault="00B3540D" w:rsidP="00B3540D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p w14:paraId="7930D7B2" w14:textId="77777777" w:rsidR="00B3540D" w:rsidRDefault="00B3540D" w:rsidP="00B3540D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p w14:paraId="61CFC099" w14:textId="77777777" w:rsidR="00B3540D" w:rsidRDefault="00B3540D" w:rsidP="00B3540D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p w14:paraId="7A1C8E03" w14:textId="77777777" w:rsidR="00B3540D" w:rsidRDefault="00B3540D" w:rsidP="00B3540D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p w14:paraId="34810087" w14:textId="77777777" w:rsidR="00B3540D" w:rsidRDefault="00B3540D" w:rsidP="00B3540D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6"/>
      </w:tblGrid>
      <w:tr w:rsidR="00B3540D" w14:paraId="66B6F47D" w14:textId="77777777" w:rsidTr="001239CA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53FE0333" w14:textId="77777777" w:rsidR="00B3540D" w:rsidRDefault="00B3540D" w:rsidP="001239CA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SAŽETI DJELOKRUG RADA I ORGANIZACIJSKA STRUKTURA UPRAVNOG ODJELA</w:t>
            </w:r>
          </w:p>
          <w:p w14:paraId="52CD924B" w14:textId="77777777" w:rsidR="00B3540D" w:rsidRDefault="00B3540D" w:rsidP="001239CA">
            <w:pPr>
              <w:ind w:left="72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3722E20" w14:textId="0960C467" w:rsidR="00B3540D" w:rsidRDefault="00B3540D" w:rsidP="001239CA">
            <w:pPr>
              <w:ind w:firstLine="708"/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Upravni odjel za prostorno uređenje, graditeljstvo i obnovu (nastavno u tekstu: UO) je uspostavljen temeljem 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Odluke o ustroju i djelokrugu upravnih tijela Sisačko-moslavačke županije, donesene na 3. sjednici Županijske skupštine, održane 21. 10. 2021. godine („Službeni glasnik Sisačko-moslavačke županije“, broj 23/21, 26/21 i  3/24).  Unutarnje ustrojstvo, opis radnih mjesta i sl. su propisani Pravilnikom u unutarnjem redu Upravnog odjela („Službeni glasnik SMŽ“ broj 33/21, 5/22, 11/23, 15/23, 6/24, 16/24, 20/24).</w:t>
            </w:r>
          </w:p>
          <w:p w14:paraId="3E604429" w14:textId="77777777" w:rsidR="00B3540D" w:rsidRDefault="00B3540D" w:rsidP="001239CA">
            <w:p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Detaljan opis poslova UO je naveden u članku 14. Odluke,  a isti se odnose na:</w:t>
            </w:r>
          </w:p>
          <w:p w14:paraId="0E23BE20" w14:textId="77777777" w:rsidR="00B3540D" w:rsidRDefault="00B3540D" w:rsidP="001239CA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poslove prostornog uređenja, graditeljstva i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eNekretnina</w:t>
            </w:r>
            <w:proofErr w:type="spellEnd"/>
          </w:p>
          <w:p w14:paraId="0C419451" w14:textId="77777777" w:rsidR="00B3540D" w:rsidRDefault="00B3540D" w:rsidP="001239CA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imovinsko-pravne poslove, poslove stambenog zbrinjavanja i obnove (u nadležnosti županije)</w:t>
            </w:r>
          </w:p>
          <w:p w14:paraId="56720D40" w14:textId="1D76CB4A" w:rsidR="00B3540D" w:rsidRDefault="00B3540D" w:rsidP="001239CA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upravljanja državnom imovinom u nadležnosti županije (od 1.1. 2024. godine)</w:t>
            </w:r>
          </w:p>
          <w:p w14:paraId="4AE38DDD" w14:textId="45430E38" w:rsidR="00B3540D" w:rsidRDefault="00B3540D" w:rsidP="001239C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pravni odjel za prostorno uređenje, graditeljstvo i obnovu je temeljem Odluke o ustroju i djelokrugu upravnih tijela preuzeo poslove Upravnog odjela za prostorno uređenje, graditeljstvo i zaštitu okoliša koji se odnose na prostorno uređenje, graditeljstvo i e-Nekretnine, te poslove Upravnog odjela za opću upravu i imovinsko-pravne poslove koji se odnose na naknadu za imovinu oduzetu za vrijeme jugoslavenske komunističke vladavine, obnovu, potporu za popravak i potporu za opremanje ratom oštećenih ili uništenih objekata, rješavanje statusnih prava izbjeglica, prognanika i povratnika, te stambeno zbrinjavanje izbjeglica, prognanika i povratnika, te zatečene službenike koji obavljaju navedene poslove</w:t>
            </w:r>
            <w:r w:rsidR="0063654C">
              <w:rPr>
                <w:rFonts w:ascii="Calibri" w:hAnsi="Calibri" w:cs="Calibri"/>
                <w:sz w:val="22"/>
                <w:szCs w:val="22"/>
              </w:rPr>
              <w:t>, a od</w:t>
            </w:r>
            <w:r w:rsidR="006B1C18">
              <w:rPr>
                <w:rFonts w:ascii="Calibri" w:hAnsi="Calibri" w:cs="Calibri"/>
                <w:sz w:val="22"/>
                <w:szCs w:val="22"/>
              </w:rPr>
              <w:t xml:space="preserve"> 1.1. 2024. godine izmjenom i dopunom  Zakon o upravljanju nekretninama i pokretninama u vlasništvu RH, U</w:t>
            </w:r>
            <w:r w:rsidR="0063654C">
              <w:rPr>
                <w:rFonts w:ascii="Calibri" w:hAnsi="Calibri" w:cs="Calibri"/>
                <w:sz w:val="22"/>
                <w:szCs w:val="22"/>
              </w:rPr>
              <w:t>pravni odjel</w:t>
            </w:r>
            <w:r w:rsidR="006B1C18">
              <w:rPr>
                <w:rFonts w:ascii="Calibri" w:hAnsi="Calibri" w:cs="Calibri"/>
                <w:sz w:val="22"/>
                <w:szCs w:val="22"/>
              </w:rPr>
              <w:t xml:space="preserve"> je preuzeo i ove poslove.</w:t>
            </w:r>
          </w:p>
          <w:p w14:paraId="16C63818" w14:textId="28610556" w:rsidR="00B3540D" w:rsidRDefault="00B3540D" w:rsidP="001239CA">
            <w:p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Sukladno članku 19. Odluke, u Upravnom odjelu su planirani odsjeci:</w:t>
            </w:r>
          </w:p>
          <w:p w14:paraId="4D62BE45" w14:textId="77777777" w:rsidR="00B3540D" w:rsidRDefault="00B3540D" w:rsidP="001239CA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Odsjek za prostorno uređenje, graditeljstvo i e-Nekretnine (koji ima ispostave u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Novskoj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, Glini, Popovači i Hrvatskoj Kostajnici. Ispostava u Hrvatskoj Kostajnici ne radi, već poslove obavlja Ispostava Novska.)</w:t>
            </w:r>
          </w:p>
          <w:p w14:paraId="602A36D4" w14:textId="77777777" w:rsidR="00B3540D" w:rsidRDefault="00B3540D" w:rsidP="001239CA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Odsjek za imovinsko-pravne poslove, stambeno zbrinjavanje i obnovu (ovaj odsjek ima izdvojena radna mjesta u Petrinji, Glini,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Novskoj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i Kutini)</w:t>
            </w:r>
          </w:p>
          <w:p w14:paraId="50FD1F59" w14:textId="6BD1B5F0" w:rsidR="006B1C18" w:rsidRDefault="006B1C18" w:rsidP="001239CA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Odsjek za upravljanje državnom imovinom u nadležnosti županije</w:t>
            </w:r>
          </w:p>
          <w:p w14:paraId="675B3111" w14:textId="307635DD" w:rsidR="00E56BC4" w:rsidRDefault="00B3540D" w:rsidP="001239CA">
            <w:p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Poslovi koji se obavljaju u Odsjeku za prostornog uređenja, graditeljstva i e-Nekretnina se odnose uglavnom na izdavanje različitih akata gradnje i prostornog uređenje, vođenje izrade prostornih planova te njihovih izmjena i dopuna,  te poslova e-Nekretnina. Zakoni koji propisuju izdavanje akta su </w:t>
            </w:r>
            <w:r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hr-HR"/>
              </w:rPr>
              <w:t>Zakon o prostornom uređenju</w:t>
            </w:r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 ( „Narodne novine“ broj 153/13, 65/17, 114/18, 39/19, 98/19, 67/23- akti koji se izdaju su: lokacijska informacija, lokacijska dozvola, rješenje o izmjenama i dopunama lokacijske dozvole, rješenje o  produženju važenja lokacijske dozvole, utvrđivanje posebnih uvjeta i uvjeta priključenja, rješenje o utvrđivanju građevne čestice, potvrda parcelacijskog elaborata, ovjera elaborata </w:t>
            </w:r>
            <w:proofErr w:type="spellStart"/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>etažiranja</w:t>
            </w:r>
            <w:proofErr w:type="spellEnd"/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;) </w:t>
            </w:r>
            <w:r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hr-HR"/>
              </w:rPr>
              <w:t>Zakonom o gradnji</w:t>
            </w:r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 („Narodne novine“ broj  153/13, 20/17, 39/19 i 125/19; akti koji se izdaju su: građevinska dozvola, rješenje o izmjenama i dopunama građevinske dozvole, rješenje o ukidanju građevinske dozvole, građevinska dozvola za pripremne radove, rješenje o promjeni investitora, uporabna dozvola, uporabna dozvola za određene građevine, privremena uporabna dozvola, uporabna dozvola za dio građevine, prijava početka građenja i </w:t>
            </w:r>
            <w:proofErr w:type="spellStart"/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>iskolčenja</w:t>
            </w:r>
            <w:proofErr w:type="spellEnd"/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, prijava početka uklanjanja, rješenje o odbijanju/odbacivanju ili obustavi, potvrda glavnog projekta;) </w:t>
            </w:r>
            <w:r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hr-HR"/>
              </w:rPr>
              <w:t>Zakonom o postupanju s nezakonito izgrađenim zgradama</w:t>
            </w:r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 („Narodne novine“ broj 86/12, 143/13, 65/17 i 14/19; akt koji se izdaje je: rješenje o izvedenom stanju); </w:t>
            </w:r>
            <w:r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hr-HR"/>
              </w:rPr>
              <w:t>Zakonom o procjeni vrijednosti nekretnina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(„Narodne novine“ broj</w:t>
            </w:r>
            <w:r w:rsidRPr="005236D3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</w:t>
            </w:r>
            <w:hyperlink r:id="rId5" w:history="1">
              <w:r w:rsidRPr="005236D3">
                <w:rPr>
                  <w:rStyle w:val="Hiperveza"/>
                  <w:rFonts w:ascii="Calibri" w:hAnsi="Calibri" w:cs="Calibri"/>
                  <w:color w:val="auto"/>
                  <w:sz w:val="22"/>
                  <w:szCs w:val="22"/>
                  <w:u w:val="none"/>
                  <w:lang w:eastAsia="hr-HR"/>
                </w:rPr>
                <w:t>78/15</w:t>
              </w:r>
            </w:hyperlink>
            <w:r w:rsidRPr="005236D3">
              <w:rPr>
                <w:rFonts w:ascii="Calibri" w:hAnsi="Calibri" w:cs="Calibri"/>
                <w:sz w:val="22"/>
                <w:szCs w:val="22"/>
                <w:u w:val="single"/>
                <w:lang w:eastAsia="hr-HR"/>
              </w:rPr>
              <w:t>;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na temelju ovog zakona obavlja se validacija podataka iz kupoprodajnih i drugih ugovora, izdaju se izvadci, obavlja pregled Elaborata procjene vrijednosti nekretnina</w:t>
            </w:r>
            <w:r w:rsidR="00E56BC4">
              <w:rPr>
                <w:rFonts w:ascii="Calibri" w:hAnsi="Calibri" w:cs="Calibri"/>
                <w:sz w:val="22"/>
                <w:szCs w:val="22"/>
                <w:lang w:eastAsia="hr-HR"/>
              </w:rPr>
              <w:t>, izrađuju planovi i izvješća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i dr.).</w:t>
            </w:r>
          </w:p>
          <w:p w14:paraId="12548724" w14:textId="77777777" w:rsidR="00B3540D" w:rsidRPr="00625835" w:rsidRDefault="00B3540D" w:rsidP="001239CA">
            <w:pPr>
              <w:jc w:val="both"/>
              <w:rPr>
                <w:rFonts w:ascii="Calibri" w:hAnsi="Calibri" w:cs="Calibri"/>
                <w:color w:val="333333"/>
                <w:sz w:val="8"/>
                <w:szCs w:val="8"/>
                <w:lang w:eastAsia="hr-HR"/>
              </w:rPr>
            </w:pPr>
          </w:p>
          <w:p w14:paraId="4FD13DEE" w14:textId="69004445" w:rsidR="00B3540D" w:rsidRDefault="00B3540D" w:rsidP="001239CA">
            <w:pPr>
              <w:jc w:val="both"/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shd w:val="clear" w:color="auto" w:fill="FFFFFF"/>
              </w:rPr>
              <w:t xml:space="preserve">Poslovi </w:t>
            </w:r>
            <w:r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Upravnog odjela obuhvaćaju pored prethodno opisanih i koordinaciju i praćenje rada proračunskog korisnika: Zavoda za prostorno uređenje Sisačko- moslavačke županije, sukladno zakonskoj regulativi, Odluci o osnivanju, </w:t>
            </w:r>
            <w:r w:rsidR="0063654C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>S</w:t>
            </w:r>
            <w:r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tatutu Zavoda, </w:t>
            </w:r>
            <w:r w:rsidR="0063654C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>P</w:t>
            </w:r>
            <w:r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>rogramu rada i financijskom p</w:t>
            </w:r>
            <w:r w:rsidR="0063654C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lanu </w:t>
            </w:r>
            <w:r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>Zavoda i dr. stoga ovo izvješće sadrži i dio koji se odnosi na rad Zavoda za prostorno uređenje.</w:t>
            </w:r>
          </w:p>
          <w:p w14:paraId="2941A2BD" w14:textId="77777777" w:rsidR="00B3540D" w:rsidRPr="00625835" w:rsidRDefault="00B3540D" w:rsidP="001239CA">
            <w:pPr>
              <w:jc w:val="both"/>
              <w:rPr>
                <w:rFonts w:ascii="Calibri" w:eastAsia="Lucida Sans Unicode" w:hAnsi="Calibri" w:cs="Calibri"/>
                <w:kern w:val="2"/>
                <w:sz w:val="8"/>
                <w:szCs w:val="8"/>
                <w:shd w:val="clear" w:color="auto" w:fill="FFFFFF"/>
              </w:rPr>
            </w:pPr>
          </w:p>
          <w:p w14:paraId="560CE6E1" w14:textId="77777777" w:rsidR="00B3540D" w:rsidRDefault="00B3540D" w:rsidP="001239C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lastRenderedPageBreak/>
              <w:t xml:space="preserve">           Poslovi prostornog uređenja i gradnje se obavljaju u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Sisku za područje općina Lekenik,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Martinska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Ves, Sunja, i Dvor, a po potrebi i ostalih područja (ovisno o opterećenju ispostava), te u ispostavama: Ispostava Novska (obavlja poslove prostornog uređenja i gradnje za gradove Novska i Hrvatska Kostajnica, te općine Jasenovac, Lipovljani, Donji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Kukuruzari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Majur i  Hrvatska Dubica), Ispostava Popovača (za područje Grada Popovača, te Općinu Velika Ludina), Ispostava Glina (za područje Grada Gline, te općina Topusko i Gvozd) i Ispostava Hrvatska Kostajnica (ne radi, te poslove obavlja Ispostava Novska).</w:t>
            </w:r>
          </w:p>
          <w:p w14:paraId="480224BF" w14:textId="77777777" w:rsidR="00B3540D" w:rsidRDefault="00B3540D" w:rsidP="001239CA">
            <w:pPr>
              <w:jc w:val="both"/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         Poslovi koje obavlja Odsjek  za imovinsko-pravne poslove, stambeno-zbrinjavanje i obnovu se odnose na utvrđivanje prava na naknadu za imovinu oduzetu za vrijeme jugoslavenske komunističke vladavine, izdavanje uvjerenje o pokrenutim postupcima naknade, izvlaštenje nekretnine (potpuno ili djelomično), osiguranje dokaza o stanju i vrijednosti nekretnine za koju se predlaže izvlaštenje, davanje odobrenja korisniku izvlaštenja za obavljanje pripremnih radnji, donošenje privremenog rješenja, stupanje u posjed izvlaštene nekretnine u tijeku postupka izvlaštenja, određivanje naknade za izvlaštenje nekretnine i sklapanje nagodbi, rješavanje pitanja obnove i potpore za popravak ratom oštećenog i uništenog objekta kao i povrata vlastitih uloženih sredstava za obnovu, rješavanje o statusnim pitanjima izbjeglica, prognanika i povratnika, te pravo na stambeno zbrinjavanje i sl. Poslovi i način obavljanja istih propisani su </w:t>
            </w:r>
            <w:bookmarkStart w:id="2" w:name="_Hlk87867291"/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izvlaštenju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određivanju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naknade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74/14, 69/17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</w:t>
            </w:r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izvlaštenju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9/94, 35/94-isp., 112/00, 114/01, 79/06, 45/11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34/12-završetak za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pokrenute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postupke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), </w:t>
            </w:r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naknadi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za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imovinu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oduzetu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za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vrijeme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jugoslavenske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komunističke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vladavine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92/96, 39/99,42/99, 92/99, 43/00, 131/00, 27/01, 34/01, 65/01, 118/01, 80/02, 81/02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98/19),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stambenom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zbrinjavanju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na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potpomognutim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područjima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106/18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98/19),</w:t>
            </w:r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obnovi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24796, 54796, 87796, 57/00, 38/09, 45/11, 51A/13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98/19),</w:t>
            </w:r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statusu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prognanika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izbjeglica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96/96, 39/95, 29/99, 128/99, 51a/13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98/19).</w:t>
            </w:r>
            <w:bookmarkEnd w:id="2"/>
          </w:p>
          <w:p w14:paraId="67FF0105" w14:textId="77777777" w:rsidR="00E56BC4" w:rsidRPr="00E56BC4" w:rsidRDefault="00E56BC4" w:rsidP="001239CA">
            <w:pPr>
              <w:jc w:val="both"/>
              <w:rPr>
                <w:rStyle w:val="Naglaeno"/>
                <w:rFonts w:ascii="Calibri" w:hAnsi="Calibri" w:cs="Calibri"/>
                <w:b w:val="0"/>
                <w:bCs w:val="0"/>
                <w:sz w:val="8"/>
                <w:szCs w:val="8"/>
                <w:lang w:val="en-GB"/>
              </w:rPr>
            </w:pPr>
          </w:p>
          <w:p w14:paraId="28BC46DD" w14:textId="2820EFFE" w:rsidR="00E56BC4" w:rsidRDefault="00E56BC4" w:rsidP="001239CA">
            <w:pPr>
              <w:jc w:val="both"/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        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Poslovi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koje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obavlja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Odsjek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za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upravljanje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državnom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imovinom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u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nadležnosti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županije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su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poslovi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propisani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>Zakonom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>upravljanju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>nekretninama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3C4063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>i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>pokretninama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u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>vlasništvu</w:t>
            </w:r>
            <w:proofErr w:type="spellEnd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>Republike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56BC4">
              <w:rPr>
                <w:rStyle w:val="Naglaeno"/>
                <w:rFonts w:asciiTheme="minorHAnsi" w:hAnsiTheme="minorHAnsi" w:cstheme="minorHAnsi"/>
                <w:sz w:val="22"/>
                <w:szCs w:val="22"/>
                <w:lang w:val="en-GB"/>
              </w:rPr>
              <w:t>Hrvatske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(“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155/23)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odnose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se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na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rješavanje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po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zahtjevima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stranaka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imovine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na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neizgrađenom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građevinskom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zemljištu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,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građevinama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sa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zemljištem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za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redovitu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uporabu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te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građevine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,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dok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ostale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rješavaju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druga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tijela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(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Ministarstvo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,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veliki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gradovi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sjedišta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županija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,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ustanove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koje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upravljaju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parkom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prirode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illi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nacionalnim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parkom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, </w:t>
            </w:r>
            <w:r w:rsidRPr="002055B0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JLS,</w:t>
            </w:r>
            <w:r w:rsidR="002055B0" w:rsidRPr="002055B0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3654C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</w:t>
            </w:r>
            <w:r w:rsidR="0063654C" w:rsidRPr="0063654C">
              <w:rPr>
                <w:rStyle w:val="Naglaeno"/>
                <w:rFonts w:asciiTheme="minorHAnsi" w:hAnsiTheme="minorHAnsi" w:cstheme="minorHAnsi"/>
                <w:b w:val="0"/>
                <w:bCs w:val="0"/>
                <w:lang w:val="en-GB"/>
              </w:rPr>
              <w:t>dnosno</w:t>
            </w:r>
            <w:proofErr w:type="spellEnd"/>
            <w:r w:rsidR="0063654C" w:rsidRPr="0063654C">
              <w:rPr>
                <w:rStyle w:val="Naglaeno"/>
                <w:rFonts w:asciiTheme="minorHAnsi" w:hAnsiTheme="minorHAnsi" w:cstheme="minorHAnsi"/>
                <w:b w:val="0"/>
                <w:bCs w:val="0"/>
                <w:lang w:val="en-GB"/>
              </w:rPr>
              <w:t xml:space="preserve"> </w:t>
            </w:r>
            <w:proofErr w:type="spellStart"/>
            <w:r w:rsidR="002055B0" w:rsidRPr="002055B0">
              <w:rPr>
                <w:rStyle w:val="Naglaeno"/>
                <w:rFonts w:asciiTheme="minorHAnsi" w:hAnsiTheme="minorHAnsi" w:cstheme="minorHAnsi"/>
                <w:b w:val="0"/>
                <w:bCs w:val="0"/>
                <w:lang w:val="en-GB"/>
              </w:rPr>
              <w:t>drugo</w:t>
            </w:r>
            <w:proofErr w:type="spellEnd"/>
            <w:r w:rsidR="002055B0" w:rsidRPr="002055B0">
              <w:rPr>
                <w:rStyle w:val="Naglaeno"/>
                <w:rFonts w:asciiTheme="minorHAnsi" w:hAnsiTheme="minorHAnsi" w:cstheme="minorHAnsi"/>
                <w:b w:val="0"/>
                <w:bCs w:val="0"/>
                <w:lang w:val="en-GB"/>
              </w:rPr>
              <w:t xml:space="preserve"> </w:t>
            </w:r>
            <w:proofErr w:type="spellStart"/>
            <w:r w:rsidR="002055B0" w:rsidRPr="002055B0">
              <w:rPr>
                <w:rStyle w:val="Naglaeno"/>
                <w:rFonts w:asciiTheme="minorHAnsi" w:hAnsiTheme="minorHAnsi" w:cstheme="minorHAnsi"/>
                <w:b w:val="0"/>
                <w:bCs w:val="0"/>
                <w:lang w:val="en-GB"/>
              </w:rPr>
              <w:t>nadležno</w:t>
            </w:r>
            <w:proofErr w:type="spellEnd"/>
            <w:r w:rsidR="002055B0" w:rsidRPr="002055B0">
              <w:rPr>
                <w:rStyle w:val="Naglaeno"/>
                <w:rFonts w:asciiTheme="minorHAnsi" w:hAnsiTheme="minorHAnsi" w:cstheme="minorHAnsi"/>
                <w:b w:val="0"/>
                <w:bCs w:val="0"/>
                <w:lang w:val="en-GB"/>
              </w:rPr>
              <w:t xml:space="preserve"> </w:t>
            </w:r>
            <w:proofErr w:type="spellStart"/>
            <w:r w:rsidR="002055B0" w:rsidRPr="002055B0">
              <w:rPr>
                <w:rStyle w:val="Naglaeno"/>
                <w:rFonts w:asciiTheme="minorHAnsi" w:hAnsiTheme="minorHAnsi" w:cstheme="minorHAnsi"/>
                <w:b w:val="0"/>
                <w:bCs w:val="0"/>
                <w:lang w:val="en-GB"/>
              </w:rPr>
              <w:t>tijelo</w:t>
            </w:r>
            <w:proofErr w:type="spellEnd"/>
            <w:r w:rsidRPr="002055B0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.</w:t>
            </w:r>
            <w:r w:rsidR="002055B0" w:rsidRPr="002055B0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)</w:t>
            </w:r>
          </w:p>
          <w:p w14:paraId="15489984" w14:textId="77777777" w:rsidR="00B3540D" w:rsidRDefault="00B3540D" w:rsidP="001239CA">
            <w:pPr>
              <w:jc w:val="both"/>
              <w:rPr>
                <w:rStyle w:val="Naglaeno"/>
                <w:rFonts w:ascii="Calibri" w:hAnsi="Calibri" w:cs="Calibri"/>
                <w:sz w:val="8"/>
                <w:szCs w:val="8"/>
                <w:lang w:val="en-GB"/>
              </w:rPr>
            </w:pPr>
          </w:p>
          <w:p w14:paraId="1D362689" w14:textId="2CDF4ED9" w:rsidR="00B3540D" w:rsidRDefault="00E56BC4" w:rsidP="001239CA">
            <w:pPr>
              <w:jc w:val="both"/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        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Popunjavanje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radnih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mjesta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se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obavlja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na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temelju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Pravilnika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o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unutarnjem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redu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Upravnog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odjela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za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prostorno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uređenje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graditeljstvo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obnovu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, a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popunjenost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radnih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mjesta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s </w:t>
            </w:r>
            <w:proofErr w:type="spellStart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danom</w:t>
            </w:r>
            <w:proofErr w:type="spellEnd"/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r w:rsidR="0063654C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15</w:t>
            </w:r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.</w:t>
            </w:r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11.</w:t>
            </w:r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202</w:t>
            </w:r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4</w:t>
            </w:r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.</w:t>
            </w:r>
            <w:r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godine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je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bila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sljedeća</w:t>
            </w:r>
            <w:proofErr w:type="spellEnd"/>
            <w:r w:rsidR="00B3540D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: </w:t>
            </w:r>
          </w:p>
          <w:p w14:paraId="5FB941B2" w14:textId="77777777" w:rsidR="002055B0" w:rsidRPr="00C634DE" w:rsidRDefault="002055B0" w:rsidP="001239CA">
            <w:pPr>
              <w:jc w:val="both"/>
              <w:rPr>
                <w:rStyle w:val="Naglaeno"/>
                <w:rFonts w:asciiTheme="minorHAnsi" w:hAnsiTheme="minorHAnsi" w:cstheme="minorHAnsi"/>
                <w:sz w:val="8"/>
                <w:szCs w:val="8"/>
                <w:lang w:val="en-GB"/>
              </w:rPr>
            </w:pPr>
          </w:p>
          <w:tbl>
            <w:tblPr>
              <w:tblStyle w:val="Reetkatablice"/>
              <w:tblW w:w="0" w:type="auto"/>
              <w:tblInd w:w="174" w:type="dxa"/>
              <w:tblLook w:val="04A0" w:firstRow="1" w:lastRow="0" w:firstColumn="1" w:lastColumn="0" w:noHBand="0" w:noVBand="1"/>
            </w:tblPr>
            <w:tblGrid>
              <w:gridCol w:w="2037"/>
              <w:gridCol w:w="2209"/>
              <w:gridCol w:w="2210"/>
              <w:gridCol w:w="2210"/>
            </w:tblGrid>
            <w:tr w:rsidR="002055B0" w14:paraId="5F5870A7" w14:textId="77777777" w:rsidTr="003C4063">
              <w:tc>
                <w:tcPr>
                  <w:tcW w:w="2037" w:type="dxa"/>
                </w:tcPr>
                <w:p w14:paraId="67E40FE5" w14:textId="714323CA" w:rsidR="002055B0" w:rsidRPr="002055B0" w:rsidRDefault="002055B0" w:rsidP="002055B0">
                  <w:pPr>
                    <w:suppressAutoHyphens/>
                    <w:jc w:val="center"/>
                    <w:rPr>
                      <w:rFonts w:eastAsia="Lucida Sans Unicode"/>
                      <w:kern w:val="2"/>
                      <w:sz w:val="20"/>
                      <w:szCs w:val="20"/>
                    </w:rPr>
                  </w:pPr>
                  <w:r w:rsidRPr="002055B0">
                    <w:rPr>
                      <w:rFonts w:ascii="Calibri" w:eastAsia="Lucida Sans Unicode" w:hAnsi="Calibri" w:cs="Calibri"/>
                      <w:kern w:val="2"/>
                      <w:sz w:val="20"/>
                      <w:szCs w:val="20"/>
                    </w:rPr>
                    <w:t>Broj sistematiziranih /</w:t>
                  </w:r>
                </w:p>
                <w:p w14:paraId="7A41680A" w14:textId="3342B15D" w:rsidR="002055B0" w:rsidRDefault="002055B0" w:rsidP="002055B0">
                  <w:pPr>
                    <w:jc w:val="center"/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 w:rsidRPr="002055B0">
                    <w:rPr>
                      <w:rFonts w:ascii="Calibri" w:eastAsia="Lucida Sans Unicode" w:hAnsi="Calibri" w:cs="Calibri"/>
                      <w:kern w:val="2"/>
                      <w:sz w:val="20"/>
                      <w:szCs w:val="20"/>
                    </w:rPr>
                    <w:t>broj popunjenih radnih mjesta</w:t>
                  </w:r>
                </w:p>
              </w:tc>
              <w:tc>
                <w:tcPr>
                  <w:tcW w:w="2211" w:type="dxa"/>
                </w:tcPr>
                <w:p w14:paraId="3A414357" w14:textId="55716612" w:rsidR="002055B0" w:rsidRPr="002055B0" w:rsidRDefault="002055B0" w:rsidP="002055B0">
                  <w:pPr>
                    <w:jc w:val="center"/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</w:pPr>
                  <w:r w:rsidRPr="002055B0">
                    <w:rPr>
                      <w:rFonts w:ascii="Calibri" w:eastAsia="Lucida Sans Unicode" w:hAnsi="Calibri" w:cs="Calibri"/>
                      <w:kern w:val="2"/>
                      <w:sz w:val="20"/>
                      <w:szCs w:val="20"/>
                    </w:rPr>
                    <w:t>prostorno uređenje, graditeljstvo i e-Nekretnine</w:t>
                  </w:r>
                </w:p>
              </w:tc>
              <w:tc>
                <w:tcPr>
                  <w:tcW w:w="2212" w:type="dxa"/>
                </w:tcPr>
                <w:p w14:paraId="74C1363F" w14:textId="2F5972CF" w:rsidR="002055B0" w:rsidRPr="002055B0" w:rsidRDefault="002055B0" w:rsidP="002055B0">
                  <w:pPr>
                    <w:jc w:val="center"/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</w:pPr>
                  <w:r w:rsidRPr="002055B0">
                    <w:rPr>
                      <w:rFonts w:ascii="Calibri" w:eastAsia="Lucida Sans Unicode" w:hAnsi="Calibri" w:cs="Calibri"/>
                      <w:kern w:val="2"/>
                      <w:sz w:val="20"/>
                      <w:szCs w:val="20"/>
                    </w:rPr>
                    <w:t>imovinsko-pravna, stambeno zbrinjavanje i obnova</w:t>
                  </w:r>
                </w:p>
              </w:tc>
              <w:tc>
                <w:tcPr>
                  <w:tcW w:w="2212" w:type="dxa"/>
                </w:tcPr>
                <w:p w14:paraId="334B0054" w14:textId="769FAA3E" w:rsidR="002055B0" w:rsidRPr="002055B0" w:rsidRDefault="002055B0" w:rsidP="002055B0">
                  <w:pPr>
                    <w:jc w:val="center"/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</w:pPr>
                  <w:proofErr w:type="spellStart"/>
                  <w:r w:rsidRPr="002055B0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  <w:t>Upravljanje</w:t>
                  </w:r>
                  <w:proofErr w:type="spellEnd"/>
                  <w:r w:rsidRPr="002055B0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2055B0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  <w:t>državnom</w:t>
                  </w:r>
                  <w:proofErr w:type="spellEnd"/>
                  <w:r w:rsidRPr="002055B0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2055B0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  <w:t>imovinom</w:t>
                  </w:r>
                  <w:proofErr w:type="spellEnd"/>
                  <w:r w:rsidRPr="002055B0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  <w:t xml:space="preserve"> u </w:t>
                  </w:r>
                  <w:proofErr w:type="spellStart"/>
                  <w:r w:rsidRPr="002055B0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  <w:t>nadležnosti</w:t>
                  </w:r>
                  <w:proofErr w:type="spellEnd"/>
                  <w:r w:rsidRPr="002055B0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2055B0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  <w:lang w:val="en-GB"/>
                    </w:rPr>
                    <w:t>županije</w:t>
                  </w:r>
                  <w:proofErr w:type="spellEnd"/>
                </w:p>
              </w:tc>
            </w:tr>
            <w:tr w:rsidR="002055B0" w14:paraId="2F31D8E1" w14:textId="77777777" w:rsidTr="003C4063">
              <w:tc>
                <w:tcPr>
                  <w:tcW w:w="2037" w:type="dxa"/>
                </w:tcPr>
                <w:p w14:paraId="5EE6A436" w14:textId="297C6C26" w:rsidR="002055B0" w:rsidRDefault="0063654C" w:rsidP="008849EF">
                  <w:pPr>
                    <w:jc w:val="center"/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60</w:t>
                  </w:r>
                  <w:r w:rsidR="008849EF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/</w:t>
                  </w:r>
                  <w:r w:rsidR="003C4063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3</w:t>
                  </w:r>
                  <w:r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9</w:t>
                  </w:r>
                </w:p>
              </w:tc>
              <w:tc>
                <w:tcPr>
                  <w:tcW w:w="2211" w:type="dxa"/>
                </w:tcPr>
                <w:p w14:paraId="51369AE3" w14:textId="504A44A1" w:rsidR="002055B0" w:rsidRDefault="008849EF" w:rsidP="008849EF">
                  <w:pPr>
                    <w:jc w:val="center"/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33/</w:t>
                  </w:r>
                  <w:r w:rsidR="0063654C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22</w:t>
                  </w:r>
                </w:p>
              </w:tc>
              <w:tc>
                <w:tcPr>
                  <w:tcW w:w="2212" w:type="dxa"/>
                </w:tcPr>
                <w:p w14:paraId="36E0C630" w14:textId="3DEC3FFF" w:rsidR="002055B0" w:rsidRDefault="008849EF" w:rsidP="008849EF">
                  <w:pPr>
                    <w:jc w:val="center"/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19/1</w:t>
                  </w:r>
                  <w:r w:rsidR="0063654C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3</w:t>
                  </w:r>
                </w:p>
              </w:tc>
              <w:tc>
                <w:tcPr>
                  <w:tcW w:w="2212" w:type="dxa"/>
                </w:tcPr>
                <w:p w14:paraId="68200377" w14:textId="0EF9A043" w:rsidR="002055B0" w:rsidRDefault="008849EF" w:rsidP="008849EF">
                  <w:pPr>
                    <w:jc w:val="center"/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7/</w:t>
                  </w:r>
                  <w:r w:rsidR="0063654C">
                    <w:rPr>
                      <w:rStyle w:val="Naglaeno"/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lang w:val="en-GB"/>
                    </w:rPr>
                    <w:t>4</w:t>
                  </w:r>
                </w:p>
              </w:tc>
            </w:tr>
          </w:tbl>
          <w:p w14:paraId="3F84DA49" w14:textId="77777777" w:rsidR="00B3540D" w:rsidRDefault="00B3540D" w:rsidP="001239CA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B3540D" w14:paraId="6D932E96" w14:textId="77777777" w:rsidTr="001239CA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13CE54AD" w14:textId="77777777" w:rsidR="00B3540D" w:rsidRDefault="00B3540D" w:rsidP="001239CA">
            <w:pPr>
              <w:jc w:val="both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</w:tr>
      <w:tr w:rsidR="00E56BC4" w14:paraId="4691A188" w14:textId="77777777" w:rsidTr="001239CA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7D913455" w14:textId="6F6CE293" w:rsidR="00E56BC4" w:rsidRDefault="00E56BC4" w:rsidP="001239CA">
            <w:pPr>
              <w:jc w:val="both"/>
              <w:rPr>
                <w:rFonts w:ascii="Calibri" w:hAnsi="Calibri" w:cs="Calibri"/>
                <w:b/>
                <w:sz w:val="8"/>
                <w:szCs w:val="8"/>
              </w:rPr>
            </w:pPr>
            <w:r>
              <w:rPr>
                <w:rFonts w:ascii="Calibri" w:hAnsi="Calibri" w:cs="Calibri"/>
                <w:b/>
                <w:sz w:val="8"/>
                <w:szCs w:val="8"/>
              </w:rPr>
              <w:t xml:space="preserve"> </w:t>
            </w:r>
            <w:r>
              <w:rPr>
                <w:rFonts w:ascii="Calibri" w:hAnsi="Calibri" w:cs="Calibri"/>
                <w:sz w:val="8"/>
                <w:szCs w:val="8"/>
              </w:rPr>
              <w:t xml:space="preserve"> </w:t>
            </w:r>
          </w:p>
        </w:tc>
      </w:tr>
    </w:tbl>
    <w:p w14:paraId="426F241B" w14:textId="187DEA94" w:rsidR="00B3540D" w:rsidRDefault="002055B0" w:rsidP="00B3540D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     </w:t>
      </w:r>
      <w:r w:rsidR="00B3540D">
        <w:rPr>
          <w:rFonts w:ascii="Calibri" w:eastAsia="Lucida Sans Unicode" w:hAnsi="Calibri" w:cs="Calibri"/>
          <w:kern w:val="2"/>
          <w:sz w:val="22"/>
          <w:szCs w:val="22"/>
        </w:rPr>
        <w:t>Struktura zaposlenih (</w:t>
      </w:r>
      <w:r w:rsidR="00C634DE">
        <w:rPr>
          <w:rFonts w:ascii="Calibri" w:eastAsia="Lucida Sans Unicode" w:hAnsi="Calibri" w:cs="Calibri"/>
          <w:kern w:val="2"/>
          <w:sz w:val="22"/>
          <w:szCs w:val="22"/>
        </w:rPr>
        <w:t>15</w:t>
      </w:r>
      <w:r w:rsidR="00B3540D">
        <w:rPr>
          <w:rFonts w:ascii="Calibri" w:eastAsia="Lucida Sans Unicode" w:hAnsi="Calibri" w:cs="Calibri"/>
          <w:kern w:val="2"/>
          <w:sz w:val="22"/>
          <w:szCs w:val="22"/>
        </w:rPr>
        <w:t>. 11. 202</w:t>
      </w:r>
      <w:r>
        <w:rPr>
          <w:rFonts w:ascii="Calibri" w:eastAsia="Lucida Sans Unicode" w:hAnsi="Calibri" w:cs="Calibri"/>
          <w:kern w:val="2"/>
          <w:sz w:val="22"/>
          <w:szCs w:val="22"/>
        </w:rPr>
        <w:t>4</w:t>
      </w:r>
      <w:r w:rsidR="00B3540D">
        <w:rPr>
          <w:rFonts w:ascii="Calibri" w:eastAsia="Lucida Sans Unicode" w:hAnsi="Calibri" w:cs="Calibri"/>
          <w:kern w:val="2"/>
          <w:sz w:val="22"/>
          <w:szCs w:val="22"/>
        </w:rPr>
        <w:t>.) je bila sljedeća: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3055"/>
        <w:gridCol w:w="2812"/>
      </w:tblGrid>
      <w:tr w:rsidR="00B3540D" w14:paraId="62B1A83A" w14:textId="77777777" w:rsidTr="003C406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0423" w14:textId="77777777" w:rsidR="00B3540D" w:rsidRDefault="00B3540D" w:rsidP="001239CA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VSS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94E0" w14:textId="77777777" w:rsidR="00B3540D" w:rsidRDefault="00B3540D" w:rsidP="001239CA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VŠS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06E7" w14:textId="77777777" w:rsidR="00B3540D" w:rsidRDefault="00B3540D" w:rsidP="001239CA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SSS</w:t>
            </w:r>
          </w:p>
        </w:tc>
      </w:tr>
      <w:tr w:rsidR="00B3540D" w14:paraId="51097342" w14:textId="77777777" w:rsidTr="003C406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B0E1" w14:textId="77777777" w:rsidR="00B3540D" w:rsidRDefault="00B3540D" w:rsidP="001239CA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24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9296" w14:textId="05DE204F" w:rsidR="00B3540D" w:rsidRDefault="003C4063" w:rsidP="001239CA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5F15" w14:textId="335EF62C" w:rsidR="00B3540D" w:rsidRDefault="003C4063" w:rsidP="001239CA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12</w:t>
            </w:r>
          </w:p>
        </w:tc>
      </w:tr>
    </w:tbl>
    <w:p w14:paraId="2F8904BC" w14:textId="47E570E2" w:rsidR="00C634DE" w:rsidRPr="00C634DE" w:rsidRDefault="002055B0" w:rsidP="00B3540D">
      <w:pPr>
        <w:widowControl w:val="0"/>
        <w:shd w:val="clear" w:color="auto" w:fill="FFFFFF"/>
        <w:suppressAutoHyphens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ascii="Calibri" w:hAnsi="Calibri" w:cs="Calibri"/>
          <w:bCs/>
          <w:sz w:val="22"/>
          <w:szCs w:val="22"/>
        </w:rPr>
        <w:t xml:space="preserve"> </w:t>
      </w:r>
    </w:p>
    <w:p w14:paraId="26111281" w14:textId="77777777" w:rsidR="00B3540D" w:rsidRDefault="00B3540D" w:rsidP="00B3540D">
      <w:pPr>
        <w:widowControl w:val="0"/>
        <w:numPr>
          <w:ilvl w:val="0"/>
          <w:numId w:val="2"/>
        </w:num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hr-HR"/>
        </w:rPr>
      </w:pPr>
      <w:r>
        <w:rPr>
          <w:rFonts w:ascii="Calibri" w:hAnsi="Calibri" w:cs="Calibri"/>
          <w:b/>
          <w:bCs/>
          <w:sz w:val="22"/>
          <w:szCs w:val="22"/>
          <w:lang w:eastAsia="hr-HR"/>
        </w:rPr>
        <w:t>ZAKONSKE I DRUGE PODLOGE NA KOJIMA SE ZASNIVAJU PROGRAMI</w:t>
      </w:r>
    </w:p>
    <w:p w14:paraId="77FFA3DF" w14:textId="77777777" w:rsidR="00B3540D" w:rsidRDefault="00B3540D" w:rsidP="00B3540D">
      <w:pPr>
        <w:widowControl w:val="0"/>
        <w:suppressAutoHyphens/>
        <w:ind w:firstLine="284"/>
        <w:jc w:val="both"/>
        <w:rPr>
          <w:rFonts w:ascii="Calibri" w:hAnsi="Calibri" w:cs="Calibri"/>
          <w:sz w:val="22"/>
          <w:szCs w:val="22"/>
          <w:lang w:eastAsia="hr-HR"/>
        </w:rPr>
      </w:pPr>
      <w:r>
        <w:rPr>
          <w:rFonts w:ascii="Calibri" w:hAnsi="Calibri" w:cs="Calibri"/>
          <w:sz w:val="22"/>
          <w:szCs w:val="22"/>
          <w:lang w:eastAsia="hr-HR"/>
        </w:rPr>
        <w:t>Kako je program Upravnog odjela vezan uz provođenje zakonskih propisa i ispunjavanje obveza (propisanih zakonom) Županije prema RH, jedinicama lokalne samouprave, pravnim i fizičkim osobama te javno-pravnim tijelima,  osnovni zakonski propisi na temelju kojih odjel radi su sljedeći:</w:t>
      </w:r>
    </w:p>
    <w:p w14:paraId="253E8704" w14:textId="77777777" w:rsidR="00B3540D" w:rsidRPr="00E13789" w:rsidRDefault="00B3540D" w:rsidP="00B3540D">
      <w:pPr>
        <w:numPr>
          <w:ilvl w:val="0"/>
          <w:numId w:val="4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>
        <w:rPr>
          <w:rFonts w:ascii="Calibri" w:hAnsi="Calibri" w:cs="Calibri"/>
          <w:sz w:val="22"/>
          <w:szCs w:val="22"/>
          <w:lang w:eastAsia="hr-HR"/>
        </w:rPr>
        <w:t xml:space="preserve">Zakon o gradnji („Narodne novine“ broj </w:t>
      </w:r>
      <w:hyperlink r:id="rId6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153/13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7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20/17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8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39/19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 i 125/19)</w:t>
      </w:r>
    </w:p>
    <w:p w14:paraId="6ACE7898" w14:textId="77777777" w:rsidR="00B3540D" w:rsidRPr="00E13789" w:rsidRDefault="00B3540D" w:rsidP="00B3540D">
      <w:pPr>
        <w:numPr>
          <w:ilvl w:val="0"/>
          <w:numId w:val="4"/>
        </w:numPr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prostornom uređenju („Narodne novine“ broj </w:t>
      </w:r>
      <w:hyperlink r:id="rId9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153/13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0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65/17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1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114/18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2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39/19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 , 98/19, 67/23)</w:t>
      </w:r>
    </w:p>
    <w:p w14:paraId="0DF55EC0" w14:textId="77777777" w:rsidR="00B3540D" w:rsidRPr="00E13789" w:rsidRDefault="00B3540D" w:rsidP="00B3540D">
      <w:pPr>
        <w:numPr>
          <w:ilvl w:val="0"/>
          <w:numId w:val="4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lastRenderedPageBreak/>
        <w:t xml:space="preserve">Zakon o građevnim proizvodima („Narodne novine“ broj </w:t>
      </w:r>
      <w:hyperlink r:id="rId13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76/13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4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30/14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5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130/17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6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39/19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 i 118/20)</w:t>
      </w:r>
    </w:p>
    <w:p w14:paraId="1940A539" w14:textId="77777777" w:rsidR="00B3540D" w:rsidRPr="00E13789" w:rsidRDefault="00B3540D" w:rsidP="00B3540D">
      <w:pPr>
        <w:numPr>
          <w:ilvl w:val="0"/>
          <w:numId w:val="4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komori arhitekata i komorama inženjera u graditeljstvu i prostornom uređenju    („Narodne novine“ broj </w:t>
      </w:r>
      <w:hyperlink r:id="rId17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78/15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8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114/18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>, 110/19)</w:t>
      </w:r>
    </w:p>
    <w:p w14:paraId="600F3B65" w14:textId="77777777" w:rsidR="00B3540D" w:rsidRPr="00E13789" w:rsidRDefault="00B3540D" w:rsidP="00B3540D">
      <w:pPr>
        <w:numPr>
          <w:ilvl w:val="0"/>
          <w:numId w:val="5"/>
        </w:numPr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poslovima i djelatnostima prostornog uređenja i gradnje („Narodne novine“ broj </w:t>
      </w:r>
      <w:hyperlink r:id="rId19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78/15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20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118/18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>, 110/19)</w:t>
      </w:r>
    </w:p>
    <w:p w14:paraId="43667AAB" w14:textId="77777777" w:rsidR="00B3540D" w:rsidRPr="00E13789" w:rsidRDefault="00B3540D" w:rsidP="00B3540D">
      <w:pPr>
        <w:numPr>
          <w:ilvl w:val="0"/>
          <w:numId w:val="5"/>
        </w:numPr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postupanju s nezakonito izgrađenim zgradama („Narodne novine“ broj </w:t>
      </w:r>
      <w:hyperlink r:id="rId21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86/12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22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143/13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23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65/17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24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14/19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>)</w:t>
      </w:r>
    </w:p>
    <w:p w14:paraId="4D7CB7F4" w14:textId="77777777" w:rsidR="00B3540D" w:rsidRPr="00E13789" w:rsidRDefault="00B3540D" w:rsidP="00B3540D">
      <w:pPr>
        <w:numPr>
          <w:ilvl w:val="0"/>
          <w:numId w:val="5"/>
        </w:numPr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procjeni vrijednosti nekretnina („Narodne novine“ broj </w:t>
      </w:r>
      <w:hyperlink r:id="rId25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78/15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>)</w:t>
      </w:r>
    </w:p>
    <w:p w14:paraId="44A9F092" w14:textId="77777777" w:rsidR="00B3540D" w:rsidRPr="00E13789" w:rsidRDefault="00B3540D" w:rsidP="00B3540D">
      <w:pPr>
        <w:numPr>
          <w:ilvl w:val="0"/>
          <w:numId w:val="5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>Zakon o državnoj izmjeri i katastru nekretnina („Narodne novine“ broj 112/18 i 39/22)</w:t>
      </w:r>
    </w:p>
    <w:p w14:paraId="467EDE37" w14:textId="77777777" w:rsidR="00B3540D" w:rsidRPr="00E13789" w:rsidRDefault="00B3540D" w:rsidP="00B3540D">
      <w:pPr>
        <w:numPr>
          <w:ilvl w:val="0"/>
          <w:numId w:val="5"/>
        </w:numPr>
        <w:spacing w:line="254" w:lineRule="auto"/>
        <w:ind w:left="709" w:hanging="425"/>
        <w:rPr>
          <w:rFonts w:ascii="Calibri" w:hAnsi="Calibri" w:cs="Calibri"/>
          <w:b/>
          <w:bCs/>
          <w:sz w:val="22"/>
          <w:szCs w:val="22"/>
          <w:lang w:eastAsia="hr-HR"/>
        </w:rPr>
      </w:pPr>
      <w:r w:rsidRPr="00E13789">
        <w:rPr>
          <w:rStyle w:val="Naglaeno"/>
          <w:rFonts w:ascii="Calibri" w:hAnsi="Calibri" w:cs="Calibri"/>
          <w:b w:val="0"/>
          <w:bCs w:val="0"/>
          <w:sz w:val="22"/>
          <w:szCs w:val="22"/>
        </w:rPr>
        <w:t xml:space="preserve">Zakon o općem upravnom postupku </w:t>
      </w:r>
      <w:r w:rsidRPr="00E13789">
        <w:rPr>
          <w:rFonts w:ascii="Calibri" w:hAnsi="Calibri" w:cs="Calibri"/>
          <w:sz w:val="22"/>
          <w:szCs w:val="22"/>
        </w:rPr>
        <w:t>(“Narodne novine”, broj </w:t>
      </w:r>
      <w:hyperlink r:id="rId26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47/09</w:t>
        </w:r>
      </w:hyperlink>
      <w:r w:rsidRPr="00E13789">
        <w:rPr>
          <w:rFonts w:ascii="Calibri" w:hAnsi="Calibri" w:cs="Calibri"/>
          <w:sz w:val="22"/>
          <w:szCs w:val="22"/>
        </w:rPr>
        <w:t>, 110/21)</w:t>
      </w:r>
    </w:p>
    <w:p w14:paraId="0C1FC145" w14:textId="77777777" w:rsidR="00B3540D" w:rsidRPr="00E13789" w:rsidRDefault="00B3540D" w:rsidP="00B3540D">
      <w:pPr>
        <w:numPr>
          <w:ilvl w:val="0"/>
          <w:numId w:val="5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Style w:val="Naglaeno"/>
          <w:rFonts w:ascii="Calibri" w:hAnsi="Calibri" w:cs="Calibri"/>
          <w:b w:val="0"/>
          <w:bCs w:val="0"/>
          <w:sz w:val="22"/>
          <w:szCs w:val="22"/>
        </w:rPr>
        <w:t xml:space="preserve">Zakon o upravnim sporovima </w:t>
      </w:r>
      <w:r w:rsidRPr="00E13789">
        <w:rPr>
          <w:rFonts w:ascii="Calibri" w:hAnsi="Calibri" w:cs="Calibri"/>
          <w:sz w:val="22"/>
          <w:szCs w:val="22"/>
        </w:rPr>
        <w:t>(“Narodne novine”, broj </w:t>
      </w:r>
      <w:hyperlink r:id="rId27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20/10</w:t>
        </w:r>
      </w:hyperlink>
      <w:r w:rsidRPr="00E13789">
        <w:rPr>
          <w:rFonts w:ascii="Calibri" w:hAnsi="Calibri" w:cs="Calibri"/>
          <w:sz w:val="22"/>
          <w:szCs w:val="22"/>
        </w:rPr>
        <w:t xml:space="preserve">, </w:t>
      </w:r>
      <w:hyperlink r:id="rId28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143/12</w:t>
        </w:r>
      </w:hyperlink>
      <w:r w:rsidRPr="00E13789">
        <w:rPr>
          <w:rFonts w:ascii="Calibri" w:hAnsi="Calibri" w:cs="Calibri"/>
          <w:sz w:val="22"/>
          <w:szCs w:val="22"/>
        </w:rPr>
        <w:t xml:space="preserve">, </w:t>
      </w:r>
      <w:hyperlink r:id="rId29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152/14</w:t>
        </w:r>
      </w:hyperlink>
      <w:r w:rsidRPr="00E13789">
        <w:rPr>
          <w:rFonts w:ascii="Calibri" w:hAnsi="Calibri" w:cs="Calibri"/>
          <w:sz w:val="22"/>
          <w:szCs w:val="22"/>
        </w:rPr>
        <w:t xml:space="preserve">, </w:t>
      </w:r>
      <w:hyperlink r:id="rId30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94/16</w:t>
        </w:r>
      </w:hyperlink>
      <w:r w:rsidRPr="00E13789">
        <w:rPr>
          <w:rFonts w:ascii="Calibri" w:hAnsi="Calibri" w:cs="Calibri"/>
          <w:sz w:val="22"/>
          <w:szCs w:val="22"/>
        </w:rPr>
        <w:t xml:space="preserve">, </w:t>
      </w:r>
      <w:hyperlink r:id="rId31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29/17</w:t>
        </w:r>
      </w:hyperlink>
      <w:r w:rsidRPr="00E13789">
        <w:rPr>
          <w:rFonts w:ascii="Calibri" w:hAnsi="Calibri" w:cs="Calibri"/>
          <w:sz w:val="22"/>
          <w:szCs w:val="22"/>
        </w:rPr>
        <w:t>, 110/21)</w:t>
      </w:r>
    </w:p>
    <w:p w14:paraId="39462D03" w14:textId="03AAB8A1" w:rsidR="00B3540D" w:rsidRPr="00E13789" w:rsidRDefault="00B3540D" w:rsidP="00B3540D">
      <w:pPr>
        <w:numPr>
          <w:ilvl w:val="0"/>
          <w:numId w:val="6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upravnim pristojbama („Narodne novine“ broj </w:t>
      </w:r>
      <w:hyperlink r:id="rId32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115/16</w:t>
        </w:r>
      </w:hyperlink>
      <w:r w:rsidR="002055B0">
        <w:rPr>
          <w:rStyle w:val="Hiperveza"/>
          <w:rFonts w:ascii="Calibri" w:hAnsi="Calibri" w:cs="Calibri"/>
          <w:color w:val="auto"/>
          <w:sz w:val="22"/>
          <w:szCs w:val="22"/>
          <w:u w:val="none"/>
          <w:lang w:eastAsia="hr-HR"/>
        </w:rPr>
        <w:t>, 114/22</w:t>
      </w:r>
      <w:r w:rsidRPr="00E13789">
        <w:rPr>
          <w:rFonts w:ascii="Calibri" w:hAnsi="Calibri" w:cs="Calibri"/>
          <w:sz w:val="22"/>
          <w:szCs w:val="22"/>
          <w:lang w:eastAsia="hr-HR"/>
        </w:rPr>
        <w:t>)</w:t>
      </w:r>
    </w:p>
    <w:p w14:paraId="5439A7BA" w14:textId="77777777" w:rsidR="00B3540D" w:rsidRDefault="00B3540D" w:rsidP="00B3540D">
      <w:pPr>
        <w:widowControl w:val="0"/>
        <w:numPr>
          <w:ilvl w:val="0"/>
          <w:numId w:val="6"/>
        </w:numPr>
        <w:suppressAutoHyphens/>
        <w:spacing w:line="225" w:lineRule="atLeast"/>
        <w:ind w:left="709" w:hanging="425"/>
        <w:rPr>
          <w:rFonts w:ascii="Calibri" w:eastAsia="Lucida Sans Unicode" w:hAnsi="Calibri" w:cs="Calibri"/>
          <w:iCs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  <w:lang w:eastAsia="hi-IN" w:bidi="hi-IN"/>
        </w:rPr>
        <w:t>Zakon o obilježavanju i održavanju groblja i</w:t>
      </w:r>
      <w:r>
        <w:rPr>
          <w:rFonts w:ascii="Calibri" w:eastAsia="Lucida Sans Unicode" w:hAnsi="Calibri" w:cs="Calibri"/>
          <w:color w:val="000000"/>
          <w:kern w:val="2"/>
          <w:sz w:val="22"/>
          <w:szCs w:val="22"/>
          <w:lang w:eastAsia="hi-IN" w:bidi="hi-IN"/>
        </w:rPr>
        <w:t xml:space="preserve"> grobova poginulih i umrlih interniraca, pripadnika stranih oružanih sila, političkih i ratnih zarobljenika na području RH u I. i II. svjetskom ratu („Narodne novine“ </w:t>
      </w:r>
      <w:r>
        <w:rPr>
          <w:rFonts w:ascii="Calibri" w:eastAsia="Lucida Sans Unicode" w:hAnsi="Calibri" w:cs="Calibri"/>
          <w:kern w:val="2"/>
          <w:sz w:val="22"/>
          <w:szCs w:val="22"/>
          <w:lang w:eastAsia="hi-IN" w:bidi="hi-IN"/>
        </w:rPr>
        <w:t>9</w:t>
      </w:r>
      <w:r>
        <w:rPr>
          <w:rFonts w:ascii="Calibri" w:eastAsia="Lucida Sans Unicode" w:hAnsi="Calibri" w:cs="Calibri"/>
          <w:kern w:val="2"/>
          <w:sz w:val="22"/>
          <w:szCs w:val="22"/>
        </w:rPr>
        <w:t xml:space="preserve">1/92, 26/93, 29/94 i 143/12 </w:t>
      </w:r>
      <w:r>
        <w:rPr>
          <w:rFonts w:ascii="Calibri" w:eastAsia="Lucida Sans Unicode" w:hAnsi="Calibri" w:cs="Calibri"/>
          <w:bCs/>
          <w:kern w:val="2"/>
          <w:sz w:val="22"/>
          <w:szCs w:val="22"/>
          <w:lang w:eastAsia="hi-IN" w:bidi="hi-IN"/>
        </w:rPr>
        <w:t>)</w:t>
      </w:r>
    </w:p>
    <w:p w14:paraId="42E46A07" w14:textId="77777777" w:rsidR="00B3540D" w:rsidRDefault="00B3540D" w:rsidP="00B3540D">
      <w:pPr>
        <w:widowControl w:val="0"/>
        <w:numPr>
          <w:ilvl w:val="0"/>
          <w:numId w:val="6"/>
        </w:numPr>
        <w:suppressAutoHyphens/>
        <w:spacing w:line="225" w:lineRule="atLeast"/>
        <w:ind w:left="709" w:hanging="425"/>
        <w:jc w:val="both"/>
        <w:rPr>
          <w:rFonts w:ascii="Calibri" w:eastAsia="Lucida Sans Unicode" w:hAnsi="Calibri" w:cs="Calibri"/>
          <w:iCs/>
          <w:kern w:val="2"/>
          <w:sz w:val="22"/>
          <w:szCs w:val="22"/>
        </w:rPr>
      </w:pPr>
      <w:r>
        <w:rPr>
          <w:rFonts w:ascii="Calibri" w:eastAsia="Lucida Sans Unicode" w:hAnsi="Calibri" w:cs="Calibri"/>
          <w:color w:val="000000"/>
          <w:kern w:val="2"/>
          <w:sz w:val="22"/>
          <w:szCs w:val="22"/>
          <w:lang w:eastAsia="hi-IN" w:bidi="hi-IN"/>
        </w:rPr>
        <w:t xml:space="preserve">Zakon o grobljima („ Narodne novine“ </w:t>
      </w:r>
      <w:r>
        <w:rPr>
          <w:rFonts w:ascii="Calibri" w:eastAsia="Lucida Sans Unicode" w:hAnsi="Calibri" w:cs="Calibri"/>
          <w:kern w:val="2"/>
          <w:sz w:val="22"/>
          <w:szCs w:val="22"/>
        </w:rPr>
        <w:t>19/98</w:t>
      </w:r>
      <w:r>
        <w:rPr>
          <w:rFonts w:ascii="Calibri" w:eastAsia="Lucida Sans Unicode" w:hAnsi="Calibri" w:cs="Calibri"/>
          <w:kern w:val="2"/>
          <w:sz w:val="22"/>
          <w:szCs w:val="22"/>
          <w:lang w:eastAsia="hi-IN" w:bidi="hi-IN"/>
        </w:rPr>
        <w:t>, 5</w:t>
      </w:r>
      <w:r>
        <w:rPr>
          <w:rFonts w:ascii="Calibri" w:eastAsia="Lucida Sans Unicode" w:hAnsi="Calibri" w:cs="Calibri"/>
          <w:kern w:val="2"/>
          <w:sz w:val="22"/>
          <w:szCs w:val="22"/>
        </w:rPr>
        <w:t>0/12 i 89/17)</w:t>
      </w:r>
    </w:p>
    <w:p w14:paraId="4FC4781E" w14:textId="77777777" w:rsidR="00B3540D" w:rsidRDefault="00B3540D" w:rsidP="00B3540D">
      <w:pPr>
        <w:widowControl w:val="0"/>
        <w:numPr>
          <w:ilvl w:val="0"/>
          <w:numId w:val="6"/>
        </w:numPr>
        <w:suppressAutoHyphens/>
        <w:spacing w:line="225" w:lineRule="atLeast"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color w:val="000000"/>
          <w:kern w:val="2"/>
          <w:sz w:val="22"/>
          <w:szCs w:val="22"/>
          <w:lang w:eastAsia="hi-IN" w:bidi="hi-IN"/>
        </w:rPr>
        <w:t>Zakon o lokalnoj i područnoj (regionalnoj) samoupravi („Narodne novine“ 33/01, 60/01, 129/05, 109/07, 125/08, 36/09, 150/11, 144/12, 19/13, 137/15, 123/17 , 98/19, 144/20)</w:t>
      </w:r>
    </w:p>
    <w:p w14:paraId="3F40EE1E" w14:textId="77777777" w:rsidR="00B3540D" w:rsidRDefault="00B3540D" w:rsidP="00B3540D">
      <w:pPr>
        <w:widowControl w:val="0"/>
        <w:numPr>
          <w:ilvl w:val="0"/>
          <w:numId w:val="6"/>
        </w:numPr>
        <w:suppressAutoHyphens/>
        <w:spacing w:line="225" w:lineRule="atLeast"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kern w:val="2"/>
          <w:sz w:val="22"/>
          <w:szCs w:val="22"/>
        </w:rPr>
        <w:t>Podzakonskim aktima (pravilnicima, uredbama, tehničkim propisima utemeljenim na zakonima), t</w:t>
      </w:r>
      <w:r>
        <w:rPr>
          <w:rFonts w:ascii="Calibri" w:eastAsia="Lucida Sans Unicode" w:hAnsi="Calibri" w:cs="Calibri"/>
          <w:color w:val="000000"/>
          <w:kern w:val="2"/>
          <w:sz w:val="22"/>
          <w:szCs w:val="22"/>
        </w:rPr>
        <w:t>e općim aktima jedinica lokalne samouprave u SMŽ – prostorni planovi</w:t>
      </w:r>
    </w:p>
    <w:p w14:paraId="38FBB8DC" w14:textId="77777777" w:rsidR="00B3540D" w:rsidRDefault="00B3540D" w:rsidP="00B3540D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Zakon o izvlaštenju i određivanju naknade (“Narodne novine” broj 74/14, 69/17 i 98/19) </w:t>
      </w:r>
    </w:p>
    <w:p w14:paraId="2BEFA019" w14:textId="77777777" w:rsidR="00B3540D" w:rsidRDefault="00B3540D" w:rsidP="00B3540D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Zakon o izvlaštenju (“Narodne novine” broj 9/94, 35/94-isp., 112/00, 114/01, 79/06, 45/11 i 34/12-završetak za pokrenute postupke),</w:t>
      </w:r>
    </w:p>
    <w:p w14:paraId="22DDA032" w14:textId="77777777" w:rsidR="00B3540D" w:rsidRDefault="00B3540D" w:rsidP="00B3540D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Zakon o naknadi za imovinu oduzetu za vrijeme jugoslavenske komunističke vladavine (“Narodne novine” broj 92/96, 39/99,42/99, 92/99, 43/00, 131/00, 27/01, 34/01, 65/01, 118/01, 80/02, 81/02 i 98/19), </w:t>
      </w:r>
    </w:p>
    <w:p w14:paraId="2B577216" w14:textId="77777777" w:rsidR="00B3540D" w:rsidRDefault="00B3540D" w:rsidP="00B3540D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Zakon o stambenom zbrinjavanju na potpomognutim područjima (“Narodne novine” broj 106/18 i 98/19), </w:t>
      </w:r>
    </w:p>
    <w:p w14:paraId="54C07A40" w14:textId="791EA991" w:rsidR="00B3540D" w:rsidRDefault="00B3540D" w:rsidP="00B3540D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Zakon o obnovi (“Narodne novine” broj 24</w:t>
      </w:r>
      <w:r w:rsidR="008849EF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/</w:t>
      </w: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96, 54</w:t>
      </w:r>
      <w:r w:rsidR="008849EF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/</w:t>
      </w: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96, 87</w:t>
      </w:r>
      <w:r w:rsidR="008849EF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/</w:t>
      </w: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96, 57/00, 38/09, 45/11, 51A/13 i 98/19),  </w:t>
      </w:r>
    </w:p>
    <w:p w14:paraId="771ED54B" w14:textId="77777777" w:rsidR="00B3540D" w:rsidRDefault="00B3540D" w:rsidP="00B3540D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Zakon o statusu prognanika i izbjeglica (“Narodne novine” broj 96/96, 39795, 29/99, 128/99, 51a/13 i 98/19).</w:t>
      </w:r>
    </w:p>
    <w:p w14:paraId="6A15A591" w14:textId="1B94054E" w:rsidR="002055B0" w:rsidRDefault="002055B0" w:rsidP="00B3540D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Zakon o upravljanju nekretninama i pokretninama u vlasništvu Republike Hrvatske („Narodne novine“ broj 155/23)</w:t>
      </w:r>
    </w:p>
    <w:p w14:paraId="74E99B99" w14:textId="77777777" w:rsidR="00B3540D" w:rsidRDefault="00B3540D" w:rsidP="00B3540D">
      <w:pPr>
        <w:widowControl w:val="0"/>
        <w:suppressAutoHyphens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U rješavanju poslova prostornog uređenja i gradnje, te e-Nekretnina pored zakonskih propisa, rješenja se zasnivaju i na odredbama prostornih planova (Prostornog plana Sisačko-moslavačke županije, te prostornih planova jedinica lokalne samouprave koje su u nadležnosti Upravnog odjela, a to su svi gradovi osim Siska, Petrinje i Kutine, te sve općine).</w:t>
      </w:r>
    </w:p>
    <w:p w14:paraId="41033870" w14:textId="372D38AC" w:rsidR="00B3540D" w:rsidRDefault="00B3540D" w:rsidP="00B3540D">
      <w:pPr>
        <w:widowControl w:val="0"/>
        <w:suppressAutoHyphens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Ovdje treba naglasiti i činjenicu da je Upravni odjel nositelj izrade prostornog plana Županije kao i njegovih izmjena i dopuna (</w:t>
      </w:r>
      <w:r w:rsidR="002055B0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U tijeku je izrada V. izmjena i dopuna </w:t>
      </w: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prostornog plana</w:t>
      </w:r>
      <w:r w:rsidR="002055B0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 županije i postupak strateške procjene utjecaja Plana na okoliš.</w:t>
      </w:r>
      <w:r w:rsidR="00C634DE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)</w:t>
      </w:r>
    </w:p>
    <w:p w14:paraId="22FD6806" w14:textId="77777777" w:rsidR="00C634DE" w:rsidRDefault="00C634DE" w:rsidP="00B3540D">
      <w:pPr>
        <w:widowControl w:val="0"/>
        <w:suppressAutoHyphens/>
        <w:jc w:val="both"/>
        <w:rPr>
          <w:rFonts w:ascii="Calibri" w:hAnsi="Calibri" w:cs="Calibri"/>
          <w:sz w:val="16"/>
          <w:szCs w:val="16"/>
          <w:lang w:eastAsia="hr-HR"/>
        </w:rPr>
      </w:pPr>
    </w:p>
    <w:p w14:paraId="10458DE8" w14:textId="77777777" w:rsidR="00B3540D" w:rsidRDefault="00B3540D" w:rsidP="00B3540D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hr-HR"/>
        </w:rPr>
        <w:t xml:space="preserve">3. </w:t>
      </w:r>
      <w:r>
        <w:rPr>
          <w:rFonts w:ascii="Calibri" w:hAnsi="Calibri" w:cs="Calibri"/>
          <w:b/>
          <w:bCs/>
          <w:sz w:val="22"/>
          <w:szCs w:val="22"/>
        </w:rPr>
        <w:t>USKLAĐIVANJE CILJEVA, STRATEGIJA I PROGRAMA UPRAVNOG ODJELA S PLANIRANIM POLITIKAMA SISAČKO-MOSLAVAČKE ŽUPANIJE</w:t>
      </w:r>
    </w:p>
    <w:p w14:paraId="5761B1A8" w14:textId="6C558BF5" w:rsidR="00B3540D" w:rsidRDefault="00B3540D" w:rsidP="00B3540D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Upravni odjel obavlja poslove javne/regionalne uprave i samouprave, kao i preuzete poslove ureda državne uprave (stambeno zbrinjavanje, imovinsko-pravni poslovi),</w:t>
      </w:r>
      <w:r w:rsidR="003C4063">
        <w:rPr>
          <w:rFonts w:ascii="Calibri" w:hAnsi="Calibri" w:cs="Calibri"/>
          <w:sz w:val="22"/>
          <w:szCs w:val="22"/>
        </w:rPr>
        <w:t xml:space="preserve"> poslove preuzete od Ministar</w:t>
      </w:r>
      <w:r w:rsidR="00B83D47">
        <w:rPr>
          <w:rFonts w:ascii="Calibri" w:hAnsi="Calibri" w:cs="Calibri"/>
          <w:sz w:val="22"/>
          <w:szCs w:val="22"/>
        </w:rPr>
        <w:t>s</w:t>
      </w:r>
      <w:r w:rsidR="003C4063">
        <w:rPr>
          <w:rFonts w:ascii="Calibri" w:hAnsi="Calibri" w:cs="Calibri"/>
          <w:sz w:val="22"/>
          <w:szCs w:val="22"/>
        </w:rPr>
        <w:t>tva</w:t>
      </w:r>
      <w:r w:rsidR="00C634DE">
        <w:rPr>
          <w:rFonts w:ascii="Calibri" w:hAnsi="Calibri" w:cs="Calibri"/>
          <w:sz w:val="22"/>
          <w:szCs w:val="22"/>
        </w:rPr>
        <w:t xml:space="preserve"> prostornog uređenje, graditeljstva i državne imovine</w:t>
      </w:r>
      <w:r w:rsidR="003C4063">
        <w:rPr>
          <w:rFonts w:ascii="Calibri" w:hAnsi="Calibri" w:cs="Calibri"/>
          <w:sz w:val="22"/>
          <w:szCs w:val="22"/>
        </w:rPr>
        <w:t xml:space="preserve"> (upravljanje državnom imovinom u nadležnosti županije),</w:t>
      </w:r>
      <w:r>
        <w:rPr>
          <w:rFonts w:ascii="Calibri" w:hAnsi="Calibri" w:cs="Calibri"/>
          <w:sz w:val="22"/>
          <w:szCs w:val="22"/>
        </w:rPr>
        <w:t xml:space="preserve"> te su poslovi i programi planirani u proračunu propisani zakonima koji reguliraju prostorno uređenje, graditeljstvo, e-Nekretnine, imovinsko-pravne poslove, stambeno zbrinjavanje i </w:t>
      </w:r>
      <w:r>
        <w:rPr>
          <w:rFonts w:ascii="Calibri" w:hAnsi="Calibri" w:cs="Calibri"/>
          <w:sz w:val="22"/>
          <w:szCs w:val="22"/>
        </w:rPr>
        <w:lastRenderedPageBreak/>
        <w:t>obnovu</w:t>
      </w:r>
      <w:r w:rsidR="003C4063">
        <w:rPr>
          <w:rFonts w:ascii="Calibri" w:hAnsi="Calibri" w:cs="Calibri"/>
          <w:sz w:val="22"/>
          <w:szCs w:val="22"/>
        </w:rPr>
        <w:t xml:space="preserve">, upravljanje državnim nekretninama. </w:t>
      </w:r>
      <w:r>
        <w:rPr>
          <w:rFonts w:ascii="Calibri" w:hAnsi="Calibri" w:cs="Calibri"/>
          <w:sz w:val="22"/>
          <w:szCs w:val="22"/>
        </w:rPr>
        <w:t>Program</w:t>
      </w:r>
      <w:r w:rsidR="00161234">
        <w:rPr>
          <w:rFonts w:ascii="Calibri" w:hAnsi="Calibri" w:cs="Calibri"/>
          <w:sz w:val="22"/>
          <w:szCs w:val="22"/>
        </w:rPr>
        <w:t xml:space="preserve">i su </w:t>
      </w:r>
      <w:r>
        <w:rPr>
          <w:rFonts w:ascii="Calibri" w:hAnsi="Calibri" w:cs="Calibri"/>
          <w:sz w:val="22"/>
          <w:szCs w:val="22"/>
        </w:rPr>
        <w:t>usklađen s prioritetnim javnim politikama Sisačko-moslavačke županije i to:</w:t>
      </w:r>
    </w:p>
    <w:p w14:paraId="59E95298" w14:textId="77777777" w:rsidR="00B3540D" w:rsidRDefault="00B3540D" w:rsidP="00B3540D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gospodarski rast (prostorno-planskom dokumentacijom, izmjenama i dopunama prostornih planova se nastoje otvoriti mogućnosti gradnje i razvoja gospodarstva i infrastrukture u županiji), a osobito</w:t>
      </w:r>
    </w:p>
    <w:p w14:paraId="671285E1" w14:textId="77777777" w:rsidR="00B3540D" w:rsidRDefault="00B3540D" w:rsidP="00B3540D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održivo upravljanje (izradom i provedbom planskih dokumenata, te učinkovitim planiranjem i upravljanjem imovinom i prostorom županije, te učinkovitim i brzim rješavanjem imovinsko – pravnih poslova i poslova stambenog zbrinjavanja, nastoji se doprinijeti učinkovitom upravljanju resursima te stvoriti povoljne uvjete za gospodarski razvoj i rast, kao i za demografsku obnovu prostora.</w:t>
      </w:r>
    </w:p>
    <w:p w14:paraId="4CA701D2" w14:textId="77777777" w:rsidR="00B3540D" w:rsidRDefault="00B3540D" w:rsidP="00B3540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Navedeni prioriteti javnih politika županije ostvarivat će se provedbom posebnih ciljeva, čijem će ostvarenju pridonijeti i program Upravnog odjela kroz posebni cilj oznake: </w:t>
      </w:r>
      <w:r>
        <w:rPr>
          <w:rFonts w:ascii="Calibri" w:hAnsi="Calibri" w:cs="Calibri"/>
          <w:b/>
          <w:bCs/>
          <w:sz w:val="22"/>
          <w:szCs w:val="22"/>
        </w:rPr>
        <w:t xml:space="preserve">PC10 </w:t>
      </w:r>
      <w:r>
        <w:rPr>
          <w:rFonts w:ascii="Calibri" w:hAnsi="Calibri" w:cs="Calibri"/>
          <w:sz w:val="22"/>
          <w:szCs w:val="22"/>
        </w:rPr>
        <w:t xml:space="preserve">- Učinkovito upravljanje resursima, a mjere kojima pridonosi program odjela su: </w:t>
      </w:r>
    </w:p>
    <w:p w14:paraId="3DFDC382" w14:textId="77777777" w:rsidR="00B3540D" w:rsidRDefault="00B3540D" w:rsidP="00B3540D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10.1. učinkovita uprava i administracija </w:t>
      </w:r>
    </w:p>
    <w:p w14:paraId="4B42337C" w14:textId="77777777" w:rsidR="00B3540D" w:rsidRDefault="00B3540D" w:rsidP="00B3540D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10.2. učinkovito i održivo planiranje i upravljanje imovinom i prostorom županije </w:t>
      </w:r>
    </w:p>
    <w:p w14:paraId="45BDED0B" w14:textId="77777777" w:rsidR="00B3540D" w:rsidRDefault="00B3540D" w:rsidP="00B3540D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10.3. uređenje naselja i stanovanje</w:t>
      </w:r>
    </w:p>
    <w:p w14:paraId="223BA666" w14:textId="77777777" w:rsidR="00B3540D" w:rsidRDefault="00B3540D" w:rsidP="00B3540D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10.6. priprema i provedba strateških dokumenata</w:t>
      </w:r>
    </w:p>
    <w:p w14:paraId="469EFD74" w14:textId="77777777" w:rsidR="00C634DE" w:rsidRDefault="00C634DE" w:rsidP="00B3540D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16"/>
          <w:szCs w:val="16"/>
        </w:rPr>
      </w:pPr>
    </w:p>
    <w:p w14:paraId="63E8691B" w14:textId="77777777" w:rsidR="00B3540D" w:rsidRDefault="00B3540D" w:rsidP="00B3540D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4. ISHODIŠTA I POKAZATELJI NA KOJIMA SE ZASNIVAJU IZRAČUNI I OCJENE POTREBNIH SREDSTAVA ZA PROVOĐENJE PROGRAMA</w:t>
      </w:r>
    </w:p>
    <w:p w14:paraId="66151C7B" w14:textId="11CF563C" w:rsidR="00B3540D" w:rsidRDefault="00B3540D" w:rsidP="00B3540D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Ocjena potrebnih sredstava za provedbu programa (aktivnosti) Upravnog odjela je napravljena na temelju dosadašnjeg rada i iskustva, te na temelju Programa rada javne ustanove Zavod za prostorno uređenje SMŽ</w:t>
      </w:r>
      <w:r w:rsidR="00C634DE">
        <w:rPr>
          <w:rFonts w:ascii="Calibri" w:hAnsi="Calibri" w:cs="Calibri"/>
          <w:sz w:val="22"/>
          <w:szCs w:val="22"/>
        </w:rPr>
        <w:t xml:space="preserve">, kao i ugovora čiju provedbu prati Upravni odjel. </w:t>
      </w:r>
      <w:r>
        <w:rPr>
          <w:rFonts w:ascii="Calibri" w:hAnsi="Calibri" w:cs="Calibri"/>
          <w:sz w:val="22"/>
          <w:szCs w:val="22"/>
        </w:rPr>
        <w:t xml:space="preserve">Aktivnosti i rad su propisani zakonima i podzakonskim aktima, te ovlastima koje je županija kao jedinica regionalne samouprave dobila u provedbi tih zakona. </w:t>
      </w:r>
    </w:p>
    <w:p w14:paraId="52F27532" w14:textId="19B788B5" w:rsidR="00B3540D" w:rsidRPr="008256AD" w:rsidRDefault="00B3540D" w:rsidP="00B3540D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8256AD">
        <w:rPr>
          <w:rFonts w:ascii="Calibri" w:hAnsi="Calibri" w:cs="Calibri"/>
          <w:sz w:val="22"/>
          <w:szCs w:val="22"/>
        </w:rPr>
        <w:t xml:space="preserve">Radom upravnog odjela, Županija ostvaruje prihode, a prihodi se ostvaruju kroz upravne pristojbe koje se plaćaju za dokumente koje izdaje upravi odjel a od 1.1. do </w:t>
      </w:r>
      <w:r w:rsidR="00B83D47" w:rsidRPr="008256AD">
        <w:rPr>
          <w:rFonts w:ascii="Calibri" w:hAnsi="Calibri" w:cs="Calibri"/>
          <w:sz w:val="22"/>
          <w:szCs w:val="22"/>
        </w:rPr>
        <w:t>3</w:t>
      </w:r>
      <w:r w:rsidR="00BA6B38" w:rsidRPr="008256AD">
        <w:rPr>
          <w:rFonts w:ascii="Calibri" w:hAnsi="Calibri" w:cs="Calibri"/>
          <w:sz w:val="22"/>
          <w:szCs w:val="22"/>
        </w:rPr>
        <w:t>1</w:t>
      </w:r>
      <w:r w:rsidRPr="008256AD">
        <w:rPr>
          <w:rFonts w:ascii="Calibri" w:hAnsi="Calibri" w:cs="Calibri"/>
          <w:sz w:val="22"/>
          <w:szCs w:val="22"/>
        </w:rPr>
        <w:t>. 1</w:t>
      </w:r>
      <w:r w:rsidR="00B83D47" w:rsidRPr="008256AD">
        <w:rPr>
          <w:rFonts w:ascii="Calibri" w:hAnsi="Calibri" w:cs="Calibri"/>
          <w:sz w:val="22"/>
          <w:szCs w:val="22"/>
        </w:rPr>
        <w:t>0</w:t>
      </w:r>
      <w:r w:rsidRPr="008256AD">
        <w:rPr>
          <w:rFonts w:ascii="Calibri" w:hAnsi="Calibri" w:cs="Calibri"/>
          <w:sz w:val="22"/>
          <w:szCs w:val="22"/>
        </w:rPr>
        <w:t>. 202</w:t>
      </w:r>
      <w:r w:rsidR="00B83D47" w:rsidRPr="008256AD">
        <w:rPr>
          <w:rFonts w:ascii="Calibri" w:hAnsi="Calibri" w:cs="Calibri"/>
          <w:sz w:val="22"/>
          <w:szCs w:val="22"/>
        </w:rPr>
        <w:t>4</w:t>
      </w:r>
      <w:r w:rsidRPr="008256AD">
        <w:rPr>
          <w:rFonts w:ascii="Calibri" w:hAnsi="Calibri" w:cs="Calibri"/>
          <w:sz w:val="22"/>
          <w:szCs w:val="22"/>
        </w:rPr>
        <w:t xml:space="preserve">. godine izdano je </w:t>
      </w:r>
      <w:r w:rsidRPr="001C37F1">
        <w:rPr>
          <w:rFonts w:ascii="Calibri" w:hAnsi="Calibri" w:cs="Calibri"/>
          <w:sz w:val="22"/>
          <w:szCs w:val="22"/>
        </w:rPr>
        <w:t xml:space="preserve">ukupno </w:t>
      </w:r>
      <w:r w:rsidRPr="001C37F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256AD" w:rsidRPr="001C37F1">
        <w:rPr>
          <w:rFonts w:ascii="Calibri" w:hAnsi="Calibri" w:cs="Calibri"/>
          <w:b/>
          <w:bCs/>
          <w:sz w:val="22"/>
          <w:szCs w:val="22"/>
        </w:rPr>
        <w:t xml:space="preserve">2.449 </w:t>
      </w:r>
      <w:r w:rsidRPr="001C37F1">
        <w:rPr>
          <w:rFonts w:ascii="Calibri" w:hAnsi="Calibri" w:cs="Calibri"/>
          <w:sz w:val="22"/>
          <w:szCs w:val="22"/>
        </w:rPr>
        <w:t>aka</w:t>
      </w:r>
      <w:r w:rsidRPr="008256AD">
        <w:rPr>
          <w:rFonts w:ascii="Calibri" w:hAnsi="Calibri" w:cs="Calibri"/>
          <w:sz w:val="22"/>
          <w:szCs w:val="22"/>
        </w:rPr>
        <w:t xml:space="preserve">ta gradnje i prostornog uređenja, zatim je  izdano </w:t>
      </w:r>
      <w:r w:rsidR="008256AD" w:rsidRPr="001C37F1">
        <w:rPr>
          <w:rFonts w:ascii="Calibri" w:hAnsi="Calibri" w:cs="Calibri"/>
          <w:b/>
          <w:bCs/>
          <w:sz w:val="22"/>
          <w:szCs w:val="22"/>
        </w:rPr>
        <w:t>326</w:t>
      </w:r>
      <w:r w:rsidRPr="001C37F1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8256AD">
        <w:rPr>
          <w:rFonts w:ascii="Calibri" w:hAnsi="Calibri" w:cs="Calibri"/>
          <w:sz w:val="22"/>
          <w:szCs w:val="22"/>
        </w:rPr>
        <w:t xml:space="preserve">izvadak iz baze e-Nekretnina te </w:t>
      </w:r>
      <w:r w:rsidR="00B83D47" w:rsidRPr="008256AD">
        <w:rPr>
          <w:rFonts w:ascii="Calibri" w:hAnsi="Calibri" w:cs="Calibri"/>
          <w:sz w:val="22"/>
          <w:szCs w:val="22"/>
        </w:rPr>
        <w:t>j</w:t>
      </w:r>
      <w:r w:rsidRPr="008256AD">
        <w:rPr>
          <w:rFonts w:ascii="Calibri" w:hAnsi="Calibri" w:cs="Calibri"/>
          <w:sz w:val="22"/>
          <w:szCs w:val="22"/>
        </w:rPr>
        <w:t>e i po toj osnovi ostvar</w:t>
      </w:r>
      <w:r w:rsidR="00B83D47" w:rsidRPr="008256AD">
        <w:rPr>
          <w:rFonts w:ascii="Calibri" w:hAnsi="Calibri" w:cs="Calibri"/>
          <w:sz w:val="22"/>
          <w:szCs w:val="22"/>
        </w:rPr>
        <w:t xml:space="preserve">en određeni prihod u 2024. godini, a očekuje se isti ili veći </w:t>
      </w:r>
      <w:r w:rsidRPr="008256AD">
        <w:rPr>
          <w:rFonts w:ascii="Calibri" w:hAnsi="Calibri" w:cs="Calibri"/>
          <w:sz w:val="22"/>
          <w:szCs w:val="22"/>
        </w:rPr>
        <w:t>prihod</w:t>
      </w:r>
      <w:r w:rsidR="00B83D47" w:rsidRPr="008256AD">
        <w:rPr>
          <w:rFonts w:ascii="Calibri" w:hAnsi="Calibri" w:cs="Calibri"/>
          <w:sz w:val="22"/>
          <w:szCs w:val="22"/>
        </w:rPr>
        <w:t xml:space="preserve"> u 2025. godini, jer se i upravljanjem nekretninama u vlasništvu RH (prodaja, zakup i sl</w:t>
      </w:r>
      <w:r w:rsidR="006B0025" w:rsidRPr="008256AD">
        <w:rPr>
          <w:rFonts w:ascii="Calibri" w:hAnsi="Calibri" w:cs="Calibri"/>
          <w:sz w:val="22"/>
          <w:szCs w:val="22"/>
        </w:rPr>
        <w:t>.</w:t>
      </w:r>
      <w:r w:rsidR="00B83D47" w:rsidRPr="008256AD">
        <w:rPr>
          <w:rFonts w:ascii="Calibri" w:hAnsi="Calibri" w:cs="Calibri"/>
          <w:sz w:val="22"/>
          <w:szCs w:val="22"/>
        </w:rPr>
        <w:t>) ostvaruje prihod od 20 % ukupne cijene prodaje/najma i sl.</w:t>
      </w:r>
      <w:r w:rsidR="00C634DE" w:rsidRPr="008256AD">
        <w:rPr>
          <w:rFonts w:ascii="Calibri" w:hAnsi="Calibri" w:cs="Calibri"/>
          <w:sz w:val="22"/>
          <w:szCs w:val="22"/>
        </w:rPr>
        <w:t xml:space="preserve"> a  cijena se određuje Elaboratima procjene vrijednosti nekretnine.</w:t>
      </w:r>
    </w:p>
    <w:p w14:paraId="076B2FEC" w14:textId="77777777" w:rsidR="00C634DE" w:rsidRDefault="00C634DE" w:rsidP="00B3540D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16"/>
          <w:szCs w:val="16"/>
        </w:rPr>
      </w:pPr>
    </w:p>
    <w:p w14:paraId="64ACB119" w14:textId="77777777" w:rsidR="00B3540D" w:rsidRDefault="00B3540D" w:rsidP="00B3540D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5. IZVJEŠTAJI O POSTIGNUTIM CILJEVIMA I REZULTATIMA PROGRAMA TEMELJENI NA POKAZATELJIMA USPJEŠNOSTI</w:t>
      </w:r>
    </w:p>
    <w:p w14:paraId="5013040B" w14:textId="10350100" w:rsidR="00B3540D" w:rsidRDefault="00B3540D" w:rsidP="00B3540D">
      <w:pPr>
        <w:widowControl w:val="0"/>
        <w:shd w:val="clear" w:color="auto" w:fill="FFFFFF"/>
        <w:suppressAutoHyphens/>
        <w:ind w:firstLine="708"/>
        <w:jc w:val="both"/>
        <w:rPr>
          <w:rFonts w:ascii="Calibri" w:eastAsia="Lucida Sans Unicode" w:hAnsi="Calibri" w:cs="Calibri"/>
          <w:kern w:val="2"/>
          <w:sz w:val="8"/>
          <w:szCs w:val="8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Izvještaji o postignutim ciljevima i rezultatima programa se izrađuju za svako šestomjesečno razdoblje (Izvješće o izvršenju proračuna, </w:t>
      </w:r>
      <w:r w:rsidR="00C634DE">
        <w:rPr>
          <w:rFonts w:ascii="Calibri" w:eastAsia="Lucida Sans Unicode" w:hAnsi="Calibri" w:cs="Calibri"/>
          <w:kern w:val="2"/>
          <w:sz w:val="22"/>
          <w:szCs w:val="22"/>
        </w:rPr>
        <w:t>I</w:t>
      </w:r>
      <w:r>
        <w:rPr>
          <w:rFonts w:ascii="Calibri" w:eastAsia="Lucida Sans Unicode" w:hAnsi="Calibri" w:cs="Calibri"/>
          <w:kern w:val="2"/>
          <w:sz w:val="22"/>
          <w:szCs w:val="22"/>
        </w:rPr>
        <w:t>zvješće o radu župana, godišnje izvješće o provedbi Provedbenog programa SMŽ…). Rad Upravnog odjela se prati kroz sustave CIS, e-Dozvola i e-Nekretnine, te se može pratiti i kroz broj i vremenski period rješavanja predmeta (broj izdanih lokacijskih dozvola, građevinskih dozvola, uporabnih dozvola, izdanih izvadaka iz baze e-Nekretnina …), a što se i čini.  Pokazatelji uspješnosti su prikazani za svaku mjeru, a uspješnost tijekom 202</w:t>
      </w:r>
      <w:r w:rsidR="006B0025">
        <w:rPr>
          <w:rFonts w:ascii="Calibri" w:eastAsia="Lucida Sans Unicode" w:hAnsi="Calibri" w:cs="Calibri"/>
          <w:kern w:val="2"/>
          <w:sz w:val="22"/>
          <w:szCs w:val="22"/>
        </w:rPr>
        <w:t>4</w:t>
      </w:r>
      <w:r>
        <w:rPr>
          <w:rFonts w:ascii="Calibri" w:eastAsia="Lucida Sans Unicode" w:hAnsi="Calibri" w:cs="Calibri"/>
          <w:kern w:val="2"/>
          <w:sz w:val="22"/>
          <w:szCs w:val="22"/>
        </w:rPr>
        <w:t>. godine se provjera kroz sljedeće:</w:t>
      </w:r>
    </w:p>
    <w:p w14:paraId="048EEC6C" w14:textId="77777777" w:rsidR="00B3540D" w:rsidRDefault="00B3540D" w:rsidP="00B3540D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Mjera 10.1. – broj izdanih rješenja u postupcima rješavanja imovinsko-pravnih poslova</w:t>
      </w:r>
    </w:p>
    <w:p w14:paraId="7A109737" w14:textId="77777777" w:rsidR="00B3540D" w:rsidRDefault="00B3540D" w:rsidP="00B3540D">
      <w:pPr>
        <w:widowControl w:val="0"/>
        <w:shd w:val="clear" w:color="auto" w:fill="FFFFFF"/>
        <w:suppressAutoHyphens/>
        <w:ind w:firstLine="567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 -broj izdanih rješenje u postupcima stambenog zbrinjavanja  </w:t>
      </w:r>
    </w:p>
    <w:p w14:paraId="69860AB8" w14:textId="77777777" w:rsidR="00B3540D" w:rsidRDefault="00B3540D" w:rsidP="00B3540D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Mjera10.2. Učinkovito i održivo planiranje i upravljanje prostorom županije se prati kroz:</w:t>
      </w:r>
    </w:p>
    <w:p w14:paraId="56562ADB" w14:textId="77777777" w:rsidR="00B3540D" w:rsidRDefault="00B3540D" w:rsidP="00B3540D">
      <w:pPr>
        <w:widowControl w:val="0"/>
        <w:shd w:val="clear" w:color="auto" w:fill="FFFFFF"/>
        <w:suppressAutoHyphens/>
        <w:ind w:firstLine="567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- broj izdanih lokacijskih dozvola </w:t>
      </w:r>
    </w:p>
    <w:p w14:paraId="42B6F09F" w14:textId="77777777" w:rsidR="00B3540D" w:rsidRDefault="00B3540D" w:rsidP="00B3540D">
      <w:pPr>
        <w:widowControl w:val="0"/>
        <w:shd w:val="clear" w:color="auto" w:fill="FFFFFF"/>
        <w:suppressAutoHyphens/>
        <w:ind w:firstLine="567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- broj izdanih lokacijskih informacija </w:t>
      </w:r>
    </w:p>
    <w:p w14:paraId="7F39CE29" w14:textId="77777777" w:rsidR="00B3540D" w:rsidRDefault="00B3540D" w:rsidP="00B3540D">
      <w:pPr>
        <w:widowControl w:val="0"/>
        <w:shd w:val="clear" w:color="auto" w:fill="FFFFFF"/>
        <w:suppressAutoHyphens/>
        <w:ind w:firstLine="567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- broj sudionika na javnoj raspravi  </w:t>
      </w:r>
    </w:p>
    <w:p w14:paraId="67A70942" w14:textId="77777777" w:rsidR="00B3540D" w:rsidRDefault="00B3540D" w:rsidP="00B3540D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Kao i kroz sljedeće pokazatelje: </w:t>
      </w:r>
    </w:p>
    <w:p w14:paraId="0E1B0751" w14:textId="77777777" w:rsidR="00B3540D" w:rsidRDefault="00B3540D" w:rsidP="00B3540D">
      <w:pPr>
        <w:widowControl w:val="0"/>
        <w:numPr>
          <w:ilvl w:val="0"/>
          <w:numId w:val="3"/>
        </w:numPr>
        <w:shd w:val="clear" w:color="auto" w:fill="FFFFFF"/>
        <w:suppressAutoHyphens/>
        <w:ind w:left="567" w:firstLine="0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broj izdanih izvadaka iz Zbirke kupoprodajnih cijena (ZKC-a) </w:t>
      </w:r>
    </w:p>
    <w:p w14:paraId="3DF455D7" w14:textId="77777777" w:rsidR="00B3540D" w:rsidRDefault="00B3540D" w:rsidP="00B3540D">
      <w:pPr>
        <w:widowControl w:val="0"/>
        <w:numPr>
          <w:ilvl w:val="0"/>
          <w:numId w:val="3"/>
        </w:numPr>
        <w:shd w:val="clear" w:color="auto" w:fill="FFFFFF"/>
        <w:suppressAutoHyphens/>
        <w:ind w:left="567" w:firstLine="0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broj održanih sjednica Povjerenstva za procjenu vrijednosti nekretnina </w:t>
      </w:r>
    </w:p>
    <w:p w14:paraId="618DE169" w14:textId="77777777" w:rsidR="00B3540D" w:rsidRDefault="00B3540D" w:rsidP="00B3540D">
      <w:pPr>
        <w:widowControl w:val="0"/>
        <w:numPr>
          <w:ilvl w:val="0"/>
          <w:numId w:val="3"/>
        </w:numPr>
        <w:shd w:val="clear" w:color="auto" w:fill="FFFFFF"/>
        <w:suppressAutoHyphens/>
        <w:ind w:left="567" w:firstLine="0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te broju pregledanih elaborata vrijednosti nekretnina  </w:t>
      </w:r>
    </w:p>
    <w:p w14:paraId="1B0D5DDA" w14:textId="77777777" w:rsidR="00B3540D" w:rsidRDefault="00B3540D" w:rsidP="00B3540D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Mjera 10.3.Uređenje naselja i stanovanje se prati kroz:</w:t>
      </w:r>
    </w:p>
    <w:p w14:paraId="6AD62C77" w14:textId="77777777" w:rsidR="00B3540D" w:rsidRDefault="00B3540D" w:rsidP="00B3540D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lastRenderedPageBreak/>
        <w:t xml:space="preserve">broj izdanih građevinskih </w:t>
      </w:r>
    </w:p>
    <w:p w14:paraId="3574BAE1" w14:textId="77777777" w:rsidR="00B3540D" w:rsidRDefault="00B3540D" w:rsidP="00B3540D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broj izdanih uporabnih dozvola  </w:t>
      </w:r>
    </w:p>
    <w:p w14:paraId="5A322812" w14:textId="77777777" w:rsidR="00B3540D" w:rsidRDefault="00B3540D" w:rsidP="00B3540D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te broj terenskih obilazaka</w:t>
      </w:r>
    </w:p>
    <w:p w14:paraId="51382EAD" w14:textId="77777777" w:rsidR="00B3540D" w:rsidRDefault="00B3540D" w:rsidP="00B3540D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Mjera 10.6. Pripreme i provedbe strateških dokumenata se prati kroz (podatke daje Zavod za prostorno uređenje, koji prati izradu i daje suglasnosti na planove gradova/općina, te izrađuje planove županije, izvješća o stanju u prostoru i dr.):</w:t>
      </w:r>
    </w:p>
    <w:p w14:paraId="73639184" w14:textId="77777777" w:rsidR="00B3540D" w:rsidRDefault="00B3540D" w:rsidP="00B3540D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 </w:t>
      </w:r>
      <w:bookmarkStart w:id="3" w:name="_Hlk182307299"/>
      <w:r>
        <w:rPr>
          <w:rFonts w:ascii="Calibri" w:eastAsia="Lucida Sans Unicode" w:hAnsi="Calibri" w:cs="Calibri"/>
          <w:kern w:val="2"/>
          <w:sz w:val="22"/>
          <w:szCs w:val="22"/>
        </w:rPr>
        <w:t xml:space="preserve">broj izrađenih planova </w:t>
      </w:r>
    </w:p>
    <w:p w14:paraId="4DD259A8" w14:textId="77777777" w:rsidR="00B3540D" w:rsidRDefault="00B3540D" w:rsidP="00B3540D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 broj posjetitelja na </w:t>
      </w:r>
      <w:proofErr w:type="spellStart"/>
      <w:r>
        <w:rPr>
          <w:rFonts w:ascii="Calibri" w:eastAsia="Lucida Sans Unicode" w:hAnsi="Calibri" w:cs="Calibri"/>
          <w:kern w:val="2"/>
          <w:sz w:val="22"/>
          <w:szCs w:val="22"/>
        </w:rPr>
        <w:t>geo</w:t>
      </w:r>
      <w:proofErr w:type="spellEnd"/>
      <w:r>
        <w:rPr>
          <w:rFonts w:ascii="Calibri" w:eastAsia="Lucida Sans Unicode" w:hAnsi="Calibri" w:cs="Calibri"/>
          <w:kern w:val="2"/>
          <w:sz w:val="22"/>
          <w:szCs w:val="22"/>
        </w:rPr>
        <w:t xml:space="preserve">-portalu </w:t>
      </w:r>
    </w:p>
    <w:bookmarkEnd w:id="3"/>
    <w:p w14:paraId="705878DF" w14:textId="6C42226A" w:rsidR="00161234" w:rsidRDefault="00161234" w:rsidP="00161234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Program upravljanja državnom imovinom je novi program UO, budući da je županije preuzela ove poslove s 1.1. 2024. godine od Ministarstva prostornog uređenje, graditeljstva i državne imovine.</w:t>
      </w:r>
    </w:p>
    <w:p w14:paraId="19C660AB" w14:textId="7CAC949A" w:rsidR="00B3540D" w:rsidRDefault="00B3540D" w:rsidP="00B3540D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U ovom izvješću (obrazloženju proračuna) se daju podaci o izvršenju do </w:t>
      </w:r>
      <w:r w:rsidR="006B0025">
        <w:rPr>
          <w:rFonts w:asciiTheme="minorHAnsi" w:eastAsiaTheme="minorHAnsi" w:hAnsiTheme="minorHAnsi" w:cstheme="minorBidi"/>
          <w:sz w:val="22"/>
          <w:szCs w:val="22"/>
        </w:rPr>
        <w:t xml:space="preserve">31 </w:t>
      </w:r>
      <w:r>
        <w:rPr>
          <w:rFonts w:asciiTheme="minorHAnsi" w:eastAsiaTheme="minorHAnsi" w:hAnsiTheme="minorHAnsi" w:cstheme="minorBidi"/>
          <w:sz w:val="22"/>
          <w:szCs w:val="22"/>
        </w:rPr>
        <w:t>.1</w:t>
      </w:r>
      <w:r w:rsidR="006B0025">
        <w:rPr>
          <w:rFonts w:asciiTheme="minorHAnsi" w:eastAsiaTheme="minorHAnsi" w:hAnsiTheme="minorHAnsi" w:cstheme="minorBidi"/>
          <w:sz w:val="22"/>
          <w:szCs w:val="22"/>
        </w:rPr>
        <w:t>0</w:t>
      </w:r>
      <w:r>
        <w:rPr>
          <w:rFonts w:asciiTheme="minorHAnsi" w:eastAsiaTheme="minorHAnsi" w:hAnsiTheme="minorHAnsi" w:cstheme="minorBidi"/>
          <w:sz w:val="22"/>
          <w:szCs w:val="22"/>
        </w:rPr>
        <w:t>.</w:t>
      </w:r>
      <w:r w:rsidR="006B0025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</w:rPr>
        <w:t>202</w:t>
      </w:r>
      <w:r w:rsidR="006B0025">
        <w:rPr>
          <w:rFonts w:asciiTheme="minorHAnsi" w:eastAsiaTheme="minorHAnsi" w:hAnsiTheme="minorHAnsi" w:cstheme="minorBidi"/>
          <w:sz w:val="22"/>
          <w:szCs w:val="22"/>
        </w:rPr>
        <w:t>4</w:t>
      </w:r>
      <w:r>
        <w:rPr>
          <w:rFonts w:asciiTheme="minorHAnsi" w:eastAsiaTheme="minorHAnsi" w:hAnsiTheme="minorHAnsi" w:cstheme="minorBidi"/>
          <w:sz w:val="22"/>
          <w:szCs w:val="22"/>
        </w:rPr>
        <w:t>. god.</w:t>
      </w:r>
    </w:p>
    <w:p w14:paraId="6A774368" w14:textId="77777777" w:rsidR="00B3540D" w:rsidRPr="00625835" w:rsidRDefault="00B3540D" w:rsidP="00B3540D">
      <w:pPr>
        <w:rPr>
          <w:rFonts w:asciiTheme="minorHAnsi" w:eastAsiaTheme="minorHAnsi" w:hAnsiTheme="minorHAnsi" w:cstheme="minorBidi"/>
          <w:b/>
          <w:bCs/>
          <w:sz w:val="16"/>
          <w:szCs w:val="16"/>
        </w:rPr>
      </w:pPr>
    </w:p>
    <w:p w14:paraId="7C61CAF6" w14:textId="5BF71562" w:rsidR="00B3540D" w:rsidRDefault="00B3540D" w:rsidP="00B3540D">
      <w:pPr>
        <w:widowControl w:val="0"/>
        <w:shd w:val="clear" w:color="auto" w:fill="FFFFFF"/>
        <w:suppressAutoHyphens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eastAsia="Lucida Sans Unicode" w:hAnsi="Calibri" w:cs="Calibri"/>
          <w:b/>
          <w:bCs/>
          <w:kern w:val="2"/>
          <w:sz w:val="22"/>
          <w:szCs w:val="22"/>
        </w:rPr>
        <w:t xml:space="preserve">6. PRIJEDLOG </w:t>
      </w:r>
      <w:r>
        <w:rPr>
          <w:rFonts w:ascii="Calibri" w:hAnsi="Calibri" w:cs="Calibri"/>
          <w:b/>
          <w:sz w:val="22"/>
          <w:szCs w:val="22"/>
        </w:rPr>
        <w:t>FINANCIJSKI PLAN ZA 202</w:t>
      </w:r>
      <w:r w:rsidR="006B0025">
        <w:rPr>
          <w:rFonts w:ascii="Calibri" w:hAnsi="Calibri" w:cs="Calibri"/>
          <w:b/>
          <w:sz w:val="22"/>
          <w:szCs w:val="22"/>
        </w:rPr>
        <w:t>5</w:t>
      </w:r>
      <w:r>
        <w:rPr>
          <w:rFonts w:ascii="Calibri" w:hAnsi="Calibri" w:cs="Calibri"/>
          <w:b/>
          <w:sz w:val="22"/>
          <w:szCs w:val="22"/>
        </w:rPr>
        <w:t>. GODINU S PROJEKCIJOM ZA 202</w:t>
      </w:r>
      <w:r w:rsidR="006B0025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>. I 202</w:t>
      </w:r>
      <w:r w:rsidR="006B0025">
        <w:rPr>
          <w:rFonts w:ascii="Calibri" w:hAnsi="Calibri" w:cs="Calibri"/>
          <w:b/>
          <w:sz w:val="22"/>
          <w:szCs w:val="22"/>
        </w:rPr>
        <w:t>7</w:t>
      </w:r>
      <w:r>
        <w:rPr>
          <w:rFonts w:ascii="Calibri" w:hAnsi="Calibri" w:cs="Calibri"/>
          <w:b/>
          <w:sz w:val="22"/>
          <w:szCs w:val="22"/>
        </w:rPr>
        <w:t>. GODINU S OBRAZLOŽENJEM</w:t>
      </w:r>
    </w:p>
    <w:p w14:paraId="399ADDE8" w14:textId="6A38FA8B" w:rsidR="006B0025" w:rsidRDefault="00B3540D" w:rsidP="00B3540D">
      <w:pPr>
        <w:widowControl w:val="0"/>
        <w:shd w:val="clear" w:color="auto" w:fill="FFFFFF"/>
        <w:suppressAutoHyphens/>
        <w:ind w:firstLine="708"/>
        <w:jc w:val="both"/>
        <w:rPr>
          <w:rFonts w:ascii="Calibri" w:hAnsi="Calibri" w:cs="Calibri"/>
          <w:bCs/>
          <w:sz w:val="22"/>
          <w:szCs w:val="22"/>
        </w:rPr>
      </w:pPr>
      <w:r w:rsidRPr="00625835">
        <w:rPr>
          <w:rFonts w:ascii="Calibri" w:hAnsi="Calibri" w:cs="Calibri"/>
          <w:bCs/>
          <w:sz w:val="22"/>
          <w:szCs w:val="22"/>
          <w:u w:val="single"/>
        </w:rPr>
        <w:t>Prihod Upravnog odjela</w:t>
      </w:r>
      <w:r>
        <w:rPr>
          <w:rFonts w:ascii="Calibri" w:hAnsi="Calibri" w:cs="Calibri"/>
          <w:bCs/>
          <w:sz w:val="22"/>
          <w:szCs w:val="22"/>
        </w:rPr>
        <w:t xml:space="preserve"> čine sredstva administrativnih pristojbi koje se naplaćuju sukladno Zakonu o upravnim pristojbama i Uredbi o tarifi upravnih pristojbi za izdavanje akata gradnje, prostornog uređenja</w:t>
      </w:r>
      <w:r w:rsidR="00C634DE">
        <w:rPr>
          <w:rFonts w:ascii="Calibri" w:hAnsi="Calibri" w:cs="Calibri"/>
          <w:bCs/>
          <w:sz w:val="22"/>
          <w:szCs w:val="22"/>
        </w:rPr>
        <w:t>,</w:t>
      </w:r>
      <w:r>
        <w:rPr>
          <w:rFonts w:ascii="Calibri" w:hAnsi="Calibri" w:cs="Calibri"/>
          <w:bCs/>
          <w:sz w:val="22"/>
          <w:szCs w:val="22"/>
        </w:rPr>
        <w:t xml:space="preserve"> izdavanje izvadaka iz baze e-Nekretnina i dr., dijela komunalne naknade (dio koji pripada županiji), sredstva naknade za zadržavanje nelegalno izgrađenih građevina (30 % naknade koje JLS-i doznačavaju u proračun županije), sredstva koja se uplaćuju u proračun županije za izvlaštenja (15 EUR-a za potpuno izvlaštenje odnosno 10 EUR-a za djelomično izvlaštenje, s time da se ukoliko postoji više suvlasnika, sredstva uvećavaju za 3,  EUR-a za svakog suvlasnika)</w:t>
      </w:r>
      <w:r w:rsidR="006B0025">
        <w:rPr>
          <w:rFonts w:ascii="Calibri" w:hAnsi="Calibri" w:cs="Calibri"/>
          <w:bCs/>
          <w:sz w:val="22"/>
          <w:szCs w:val="22"/>
        </w:rPr>
        <w:t>, te prodajom /zakupom i sl. državne imovine s kojom gospodari županija (20 %  kupoprodajne cijene je prihod županije).</w:t>
      </w:r>
    </w:p>
    <w:p w14:paraId="4EB44BEF" w14:textId="2A736B54" w:rsidR="00B3540D" w:rsidRDefault="00B3540D" w:rsidP="00161234">
      <w:pPr>
        <w:widowControl w:val="0"/>
        <w:shd w:val="clear" w:color="auto" w:fill="FFFFFF"/>
        <w:suppressAutoHyphens/>
        <w:ind w:firstLine="70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Sv</w:t>
      </w:r>
      <w:r w:rsidR="006B0025">
        <w:rPr>
          <w:rFonts w:ascii="Calibri" w:hAnsi="Calibri" w:cs="Calibri"/>
          <w:bCs/>
          <w:sz w:val="22"/>
          <w:szCs w:val="22"/>
        </w:rPr>
        <w:t>a</w:t>
      </w:r>
      <w:r>
        <w:rPr>
          <w:rFonts w:ascii="Calibri" w:hAnsi="Calibri" w:cs="Calibri"/>
          <w:bCs/>
          <w:sz w:val="22"/>
          <w:szCs w:val="22"/>
        </w:rPr>
        <w:t xml:space="preserve"> naplaćen</w:t>
      </w:r>
      <w:r w:rsidR="006B0025">
        <w:rPr>
          <w:rFonts w:ascii="Calibri" w:hAnsi="Calibri" w:cs="Calibri"/>
          <w:bCs/>
          <w:sz w:val="22"/>
          <w:szCs w:val="22"/>
        </w:rPr>
        <w:t>a</w:t>
      </w:r>
      <w:r>
        <w:rPr>
          <w:rFonts w:ascii="Calibri" w:hAnsi="Calibri" w:cs="Calibri"/>
          <w:bCs/>
          <w:sz w:val="22"/>
          <w:szCs w:val="22"/>
        </w:rPr>
        <w:t xml:space="preserve"> sredstva su prihod županije. Podatke o prihodima prati Upravni odjel za proračun, financije i  javnu nabavu</w:t>
      </w:r>
      <w:r w:rsidR="00161234">
        <w:rPr>
          <w:rFonts w:ascii="Calibri" w:hAnsi="Calibri" w:cs="Calibri"/>
          <w:bCs/>
          <w:sz w:val="22"/>
          <w:szCs w:val="22"/>
        </w:rPr>
        <w:t>, a planirani rashodi u 2025. godini se odnose na: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2152"/>
        <w:gridCol w:w="1760"/>
        <w:gridCol w:w="1758"/>
        <w:gridCol w:w="1762"/>
      </w:tblGrid>
      <w:tr w:rsidR="00B3540D" w:rsidRPr="00A57AF5" w14:paraId="1F7A59B8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8286" w14:textId="77777777" w:rsidR="00B3540D" w:rsidRPr="00A57AF5" w:rsidRDefault="00B3540D" w:rsidP="001239CA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RED. BROJ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BFA83" w14:textId="77777777" w:rsidR="00B3540D" w:rsidRPr="00A57AF5" w:rsidRDefault="00B3540D" w:rsidP="001239CA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NAZIV PROGRAMA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65766" w14:textId="72F7F761" w:rsidR="00B3540D" w:rsidRPr="00A57AF5" w:rsidRDefault="00B3540D" w:rsidP="001239CA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Proračun 202</w:t>
            </w:r>
            <w:r w:rsidR="006B0025">
              <w:rPr>
                <w:rFonts w:ascii="Calibri" w:hAnsi="Calibri" w:cs="Calibri"/>
                <w:b/>
                <w:sz w:val="20"/>
                <w:szCs w:val="20"/>
              </w:rPr>
              <w:t>5</w:t>
            </w: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9570" w14:textId="2A9A2820" w:rsidR="00B3540D" w:rsidRPr="00A57AF5" w:rsidRDefault="00B3540D" w:rsidP="001239CA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Projekcija 202</w:t>
            </w:r>
            <w:r w:rsidR="006B0025"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91B4" w14:textId="2788F792" w:rsidR="00B3540D" w:rsidRPr="00A57AF5" w:rsidRDefault="00B3540D" w:rsidP="001239CA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Projekcija 202</w:t>
            </w:r>
            <w:r w:rsidR="006B0025">
              <w:rPr>
                <w:rFonts w:ascii="Calibri" w:hAnsi="Calibri" w:cs="Calibri"/>
                <w:b/>
                <w:sz w:val="20"/>
                <w:szCs w:val="20"/>
              </w:rPr>
              <w:t>7</w:t>
            </w: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</w:tr>
      <w:tr w:rsidR="00B3540D" w:rsidRPr="00A57AF5" w14:paraId="7D27CC87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AB94" w14:textId="77777777" w:rsidR="00B3540D" w:rsidRPr="00A57AF5" w:rsidRDefault="00B3540D" w:rsidP="001239CA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GLAVA 1</w:t>
            </w:r>
          </w:p>
        </w:tc>
        <w:tc>
          <w:tcPr>
            <w:tcW w:w="7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2E65" w14:textId="2A90627F" w:rsidR="00B3540D" w:rsidRPr="00A57AF5" w:rsidRDefault="00B3540D" w:rsidP="001239CA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 xml:space="preserve">UPRAVNI ODJEL ZA PROSTORNO UREĐENJE, GRADITELJSTVO I </w:t>
            </w:r>
            <w:r w:rsidR="001C37F1">
              <w:rPr>
                <w:rFonts w:ascii="Calibri" w:hAnsi="Calibri" w:cs="Calibri"/>
                <w:b/>
                <w:sz w:val="20"/>
                <w:szCs w:val="20"/>
              </w:rPr>
              <w:t>OBNOVU</w:t>
            </w:r>
          </w:p>
        </w:tc>
      </w:tr>
      <w:tr w:rsidR="00B3540D" w:rsidRPr="00A57AF5" w14:paraId="77904927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5033" w14:textId="77777777" w:rsidR="00B3540D" w:rsidRPr="00A57AF5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 xml:space="preserve">Program </w:t>
            </w:r>
          </w:p>
          <w:p w14:paraId="3DB7A9CA" w14:textId="77777777" w:rsidR="00B3540D" w:rsidRPr="00A57AF5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1001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8E90" w14:textId="77777777" w:rsidR="00B3540D" w:rsidRPr="00A57AF5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 xml:space="preserve">Dokumenti prostornog uređenja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FE89" w14:textId="37561AD7" w:rsidR="00B3540D" w:rsidRPr="00A57AF5" w:rsidRDefault="007B526A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</w:t>
            </w:r>
            <w:r w:rsidR="00161234">
              <w:rPr>
                <w:rFonts w:ascii="Calibri" w:hAnsi="Calibri" w:cs="Calibri"/>
                <w:bCs/>
                <w:sz w:val="20"/>
                <w:szCs w:val="20"/>
              </w:rPr>
              <w:t>5.000,00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878A" w14:textId="77B6C407" w:rsidR="00B3540D" w:rsidRPr="00A57AF5" w:rsidRDefault="00B3540D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94B2" w14:textId="26F09CA9" w:rsidR="00B3540D" w:rsidRPr="00A57AF5" w:rsidRDefault="00B3540D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B3540D" w:rsidRPr="00A57AF5" w14:paraId="58CDA79C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4ADC" w14:textId="77777777" w:rsidR="00B3540D" w:rsidRPr="001C37F1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i/>
                <w:sz w:val="20"/>
                <w:szCs w:val="20"/>
              </w:rPr>
              <w:t>Aktivnost</w:t>
            </w:r>
          </w:p>
          <w:p w14:paraId="176BD721" w14:textId="77777777" w:rsidR="00B3540D" w:rsidRPr="001C37F1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i/>
                <w:sz w:val="20"/>
                <w:szCs w:val="20"/>
              </w:rPr>
              <w:t>A100001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D48C" w14:textId="77777777" w:rsidR="00B3540D" w:rsidRPr="001C37F1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i/>
                <w:sz w:val="20"/>
                <w:szCs w:val="20"/>
              </w:rPr>
              <w:t>Prostorno uređenje i gradnja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C43D" w14:textId="12B7E58D" w:rsidR="00B3540D" w:rsidRPr="00A57AF5" w:rsidRDefault="007B526A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  <w:r w:rsidR="00161234">
              <w:rPr>
                <w:rFonts w:ascii="Calibri" w:hAnsi="Calibri" w:cs="Calibri"/>
                <w:sz w:val="20"/>
                <w:szCs w:val="20"/>
              </w:rPr>
              <w:t>5.000,00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6001" w14:textId="2AB35A01" w:rsidR="00B3540D" w:rsidRPr="00A57AF5" w:rsidRDefault="00B3540D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EC57" w14:textId="398B2912" w:rsidR="00B3540D" w:rsidRPr="00A57AF5" w:rsidRDefault="00B3540D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3540D" w:rsidRPr="00A57AF5" w14:paraId="46200CCF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FBFD" w14:textId="77777777" w:rsidR="00B3540D" w:rsidRPr="001C37F1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i/>
                <w:sz w:val="20"/>
                <w:szCs w:val="20"/>
              </w:rPr>
              <w:t>Aktivnost</w:t>
            </w:r>
          </w:p>
          <w:p w14:paraId="0206FD78" w14:textId="77777777" w:rsidR="00B3540D" w:rsidRPr="001C37F1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i/>
                <w:sz w:val="20"/>
                <w:szCs w:val="20"/>
              </w:rPr>
              <w:t>A100002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8EED" w14:textId="77777777" w:rsidR="00B3540D" w:rsidRPr="001C37F1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i/>
                <w:sz w:val="20"/>
                <w:szCs w:val="20"/>
              </w:rPr>
              <w:t>Izrada Plana približnih  vrijednosti nekretnina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0BFF" w14:textId="1B044E4E" w:rsidR="00B3540D" w:rsidRPr="00A57AF5" w:rsidRDefault="006B0025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10.000,00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DD59" w14:textId="249A0E43" w:rsidR="00B3540D" w:rsidRPr="00A57AF5" w:rsidRDefault="00B3540D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8384" w14:textId="4521E739" w:rsidR="00B3540D" w:rsidRPr="00A57AF5" w:rsidRDefault="00B3540D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0025" w:rsidRPr="00A57AF5" w14:paraId="1465F4A7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A8A3" w14:textId="77777777" w:rsidR="006B0025" w:rsidRDefault="006B0025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Program </w:t>
            </w:r>
          </w:p>
          <w:p w14:paraId="34710C2F" w14:textId="6E6E7D4E" w:rsidR="006B0025" w:rsidRPr="006B0025" w:rsidRDefault="006B0025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>1002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244A" w14:textId="3F7F9308" w:rsidR="006B0025" w:rsidRPr="006B0025" w:rsidRDefault="006B0025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6B0025">
              <w:rPr>
                <w:rFonts w:ascii="Calibri" w:hAnsi="Calibri" w:cs="Calibri"/>
                <w:b/>
                <w:iCs/>
                <w:sz w:val="20"/>
                <w:szCs w:val="20"/>
              </w:rPr>
              <w:t>Upravljanje državnom imovinom u nadležnosti županije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1414" w14:textId="67AC3AC6" w:rsidR="006B0025" w:rsidRPr="00A57AF5" w:rsidRDefault="00161234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35.000,00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445E" w14:textId="77777777" w:rsidR="006B0025" w:rsidRPr="00A57AF5" w:rsidRDefault="006B0025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A2C9" w14:textId="77777777" w:rsidR="006B0025" w:rsidRPr="00A57AF5" w:rsidRDefault="006B0025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0025" w:rsidRPr="00A57AF5" w14:paraId="4173A204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8B1" w14:textId="58FF8D63" w:rsidR="006B0025" w:rsidRPr="001C37F1" w:rsidRDefault="006B0025" w:rsidP="001239CA">
            <w:pPr>
              <w:tabs>
                <w:tab w:val="left" w:pos="3053"/>
              </w:tabs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Aktivnost </w:t>
            </w:r>
          </w:p>
          <w:p w14:paraId="33D74726" w14:textId="7EC0482B" w:rsidR="006B0025" w:rsidRPr="001C37F1" w:rsidRDefault="006B0025" w:rsidP="001239CA">
            <w:pPr>
              <w:tabs>
                <w:tab w:val="left" w:pos="3053"/>
              </w:tabs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i/>
                <w:sz w:val="20"/>
                <w:szCs w:val="20"/>
              </w:rPr>
              <w:t>A100003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3F6A" w14:textId="236446DF" w:rsidR="006B0025" w:rsidRPr="001C37F1" w:rsidRDefault="006B0025" w:rsidP="001239CA">
            <w:pPr>
              <w:tabs>
                <w:tab w:val="left" w:pos="3053"/>
              </w:tabs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i/>
                <w:sz w:val="20"/>
                <w:szCs w:val="20"/>
              </w:rPr>
              <w:t>Upravljanje državnom imovinom u nadležnosti županije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B1B4" w14:textId="103EEADC" w:rsidR="006B0025" w:rsidRPr="00A57AF5" w:rsidRDefault="007B526A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35.000,00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2B51" w14:textId="77777777" w:rsidR="006B0025" w:rsidRPr="00A57AF5" w:rsidRDefault="006B0025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B5F8" w14:textId="77777777" w:rsidR="006B0025" w:rsidRPr="00A57AF5" w:rsidRDefault="006B0025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526A" w:rsidRPr="00A57AF5" w14:paraId="11D329DC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3589" w14:textId="354E867A" w:rsidR="007B526A" w:rsidRPr="007B526A" w:rsidRDefault="007B526A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>UKUPNO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CFCA" w14:textId="77777777" w:rsidR="007B526A" w:rsidRDefault="007B526A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5E83" w14:textId="75CA0D59" w:rsidR="007B526A" w:rsidRDefault="007B526A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110.000,00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913F" w14:textId="3A090D30" w:rsidR="007B526A" w:rsidRPr="00A57AF5" w:rsidRDefault="007B526A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100.000,00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E691" w14:textId="59B8E0EF" w:rsidR="007B526A" w:rsidRPr="00A57AF5" w:rsidRDefault="007B526A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100.000,00</w:t>
            </w:r>
          </w:p>
        </w:tc>
      </w:tr>
      <w:tr w:rsidR="00B3540D" w:rsidRPr="00A57AF5" w14:paraId="27F480D7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4155" w14:textId="77777777" w:rsidR="00B3540D" w:rsidRPr="00A57AF5" w:rsidRDefault="00B3540D" w:rsidP="001239CA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GLAVA 2</w:t>
            </w:r>
          </w:p>
        </w:tc>
        <w:tc>
          <w:tcPr>
            <w:tcW w:w="7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4C72" w14:textId="77777777" w:rsidR="00B3540D" w:rsidRPr="00A57AF5" w:rsidRDefault="00B3540D" w:rsidP="001239CA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JU Zavod za prostorno uređenje</w:t>
            </w:r>
          </w:p>
        </w:tc>
      </w:tr>
      <w:tr w:rsidR="00B3540D" w:rsidRPr="00A57AF5" w14:paraId="145A1C20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8042" w14:textId="77777777" w:rsidR="00B3540D" w:rsidRPr="00A57AF5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611C" w14:textId="77777777" w:rsidR="00B3540D" w:rsidRPr="00A57AF5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Redovna djelatnost JU Zavoda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2FB0" w14:textId="4CFD7031" w:rsidR="00B3540D" w:rsidRPr="00A57AF5" w:rsidRDefault="001C37F1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468.468,87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357A" w14:textId="4D2E58AB" w:rsidR="00B3540D" w:rsidRPr="001C37F1" w:rsidRDefault="001C37F1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sz w:val="20"/>
                <w:szCs w:val="20"/>
              </w:rPr>
              <w:t>403.006,70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482F" w14:textId="1BE3BF8D" w:rsidR="00B3540D" w:rsidRPr="001C37F1" w:rsidRDefault="001C37F1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1C37F1">
              <w:rPr>
                <w:rFonts w:ascii="Calibri" w:hAnsi="Calibri" w:cs="Calibri"/>
                <w:bCs/>
                <w:sz w:val="20"/>
                <w:szCs w:val="20"/>
              </w:rPr>
              <w:t>378.006,70</w:t>
            </w:r>
          </w:p>
        </w:tc>
      </w:tr>
      <w:tr w:rsidR="00B3540D" w:rsidRPr="00A57AF5" w14:paraId="08693459" w14:textId="77777777" w:rsidTr="001239CA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5C46D" w14:textId="77777777" w:rsidR="00B3540D" w:rsidRPr="00A57AF5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bCs/>
                <w:sz w:val="20"/>
                <w:szCs w:val="20"/>
              </w:rPr>
              <w:t>UKUPNO: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6A67" w14:textId="77777777" w:rsidR="00B3540D" w:rsidRPr="00A57AF5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E555" w14:textId="76FA37B0" w:rsidR="00B3540D" w:rsidRPr="00A57AF5" w:rsidRDefault="001C37F1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578.468,87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C7B8" w14:textId="02C9AB5F" w:rsidR="00B3540D" w:rsidRPr="001C37F1" w:rsidRDefault="001C37F1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1C37F1">
              <w:rPr>
                <w:rFonts w:asciiTheme="minorHAnsi" w:eastAsia="Arial" w:hAnsiTheme="minorHAnsi" w:cstheme="minorHAnsi"/>
                <w:sz w:val="20"/>
                <w:szCs w:val="20"/>
                <w:lang w:eastAsia="hr-HR" w:bidi="hr-HR"/>
              </w:rPr>
              <w:t>5</w:t>
            </w:r>
            <w:r w:rsidRPr="001C37F1">
              <w:rPr>
                <w:rFonts w:asciiTheme="minorHAnsi" w:eastAsia="Arial" w:hAnsiTheme="minorHAnsi" w:cstheme="minorHAnsi"/>
                <w:sz w:val="20"/>
                <w:szCs w:val="20"/>
                <w:lang w:eastAsia="hr-HR" w:bidi="hr-HR"/>
              </w:rPr>
              <w:t>03.006,70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AF83" w14:textId="2E4A0C97" w:rsidR="00B3540D" w:rsidRPr="001C37F1" w:rsidRDefault="001C37F1" w:rsidP="001239CA">
            <w:pPr>
              <w:tabs>
                <w:tab w:val="left" w:pos="3053"/>
              </w:tabs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1C37F1">
              <w:rPr>
                <w:rFonts w:asciiTheme="minorHAnsi" w:eastAsia="Arial" w:hAnsiTheme="minorHAnsi" w:cstheme="minorHAnsi"/>
                <w:sz w:val="20"/>
                <w:szCs w:val="20"/>
                <w:lang w:eastAsia="hr-HR" w:bidi="hr-HR"/>
              </w:rPr>
              <w:t>4</w:t>
            </w:r>
            <w:r w:rsidRPr="001C37F1">
              <w:rPr>
                <w:rFonts w:asciiTheme="minorHAnsi" w:eastAsia="Arial" w:hAnsiTheme="minorHAnsi" w:cstheme="minorHAnsi"/>
                <w:sz w:val="20"/>
                <w:szCs w:val="20"/>
                <w:lang w:eastAsia="hr-HR" w:bidi="hr-HR"/>
              </w:rPr>
              <w:t>78.006,70</w:t>
            </w:r>
          </w:p>
        </w:tc>
      </w:tr>
      <w:tr w:rsidR="00B3540D" w:rsidRPr="00A57AF5" w14:paraId="5A95DDAB" w14:textId="77777777" w:rsidTr="001239CA">
        <w:tc>
          <w:tcPr>
            <w:tcW w:w="906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15700" w14:textId="77777777" w:rsidR="00274504" w:rsidRPr="00253664" w:rsidRDefault="00274504" w:rsidP="001239CA">
            <w:pPr>
              <w:tabs>
                <w:tab w:val="left" w:pos="3053"/>
              </w:tabs>
              <w:rPr>
                <w:rFonts w:ascii="Calibri" w:hAnsi="Calibri" w:cs="Calibri"/>
                <w:sz w:val="8"/>
                <w:szCs w:val="8"/>
              </w:rPr>
            </w:pPr>
          </w:p>
          <w:p w14:paraId="2C724919" w14:textId="77777777" w:rsidR="00274504" w:rsidRPr="00253664" w:rsidRDefault="00274504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613A43C9" w14:textId="77777777" w:rsidR="00B3540D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6.1. OBRAZLOŽENJE  POSEBNOG DIJELA PRORAČUNA UPRAVNOG ODJELA</w:t>
            </w:r>
          </w:p>
          <w:tbl>
            <w:tblPr>
              <w:tblStyle w:val="Reetkatablice"/>
              <w:tblW w:w="8962" w:type="dxa"/>
              <w:tblLook w:val="04A0" w:firstRow="1" w:lastRow="0" w:firstColumn="1" w:lastColumn="0" w:noHBand="0" w:noVBand="1"/>
            </w:tblPr>
            <w:tblGrid>
              <w:gridCol w:w="2431"/>
              <w:gridCol w:w="6531"/>
            </w:tblGrid>
            <w:tr w:rsidR="006B0025" w14:paraId="57216895" w14:textId="77777777" w:rsidTr="008256AD">
              <w:trPr>
                <w:trHeight w:val="552"/>
              </w:trPr>
              <w:tc>
                <w:tcPr>
                  <w:tcW w:w="2431" w:type="dxa"/>
                </w:tcPr>
                <w:p w14:paraId="1347643E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  <w:t>NAZIV PROGRAMA:</w:t>
                  </w:r>
                </w:p>
                <w:p w14:paraId="3EF1D121" w14:textId="77777777" w:rsidR="008256AD" w:rsidRDefault="008256AD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01DA4E2E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  <w:t>CILJ PROGRAMA:</w:t>
                  </w:r>
                </w:p>
                <w:p w14:paraId="28C89B41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1160254F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51A3E664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4B156FEC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3AD1A400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24492A7B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71712A8C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74744CC4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442329CD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7BD83C7C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5D8F5DF4" w14:textId="77777777" w:rsidR="006B0025" w:rsidRDefault="006B0025" w:rsidP="006B0025">
                  <w:pPr>
                    <w:keepNext/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  <w:t>POKAZATELJI USPJEŠNOSTI PROGRAMA:</w:t>
                  </w:r>
                </w:p>
                <w:p w14:paraId="6DEB4149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B02D167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41B03CF6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27D6877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8397F01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CD6A196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454504D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B273441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CAF39E3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D0BE302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2884BB8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D8A645A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8E9F960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167B7B3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E425F82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76C41AD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4309B90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64D3E39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A10EFB2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EDF3E62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6C7DEA8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475CD7E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122577AF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07E0E34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A23C917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458563F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385DBEC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19912C86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C02B795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D3C4649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1332D2DB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1F8C170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8AF7DD6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1A12422C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30FC67A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57FA509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1345BEDE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1D01E71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1A65BE3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E36852B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405783C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A96A9BD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8F45E6D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4139CA37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AB88AD8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CD09A92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A1EB4A7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2F38096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E5298F7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3FA0C65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ABDB840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22C021B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1A91EE16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78ABF0A" w14:textId="77777777" w:rsidR="008256AD" w:rsidRDefault="008256AD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8914724" w14:textId="77777777" w:rsidR="00274504" w:rsidRDefault="00274504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A1B4100" w14:textId="77777777" w:rsidR="006B0025" w:rsidRDefault="006B0025" w:rsidP="006B0025">
                  <w:pPr>
                    <w:keepNext/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  <w:t>OPIS PROGRAMA:</w:t>
                  </w:r>
                </w:p>
                <w:p w14:paraId="6B5BB4D5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BB18D1F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30B09A2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1B3A22E6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4F83997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7355E79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CFBE350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66F9E72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E8B46D9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9B58CAC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6F63B259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8B48A46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051AFE7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537F1325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9ADCB07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E87A66E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CB68537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5DF5E95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0F9219E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47C5CFA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A9336F6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0AB277E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43E525E0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459E3CC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45BC40E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846949A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4E0F5780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D3BB1E4" w14:textId="77777777" w:rsidR="00BA6B38" w:rsidRDefault="00BA6B38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32B0E46" w14:textId="77777777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C9E3AAB" w14:textId="77777777" w:rsidR="00274504" w:rsidRDefault="00274504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39FD88FD" w14:textId="77777777" w:rsidR="00274504" w:rsidRDefault="00274504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2ABC2EDF" w14:textId="15CF5BBD" w:rsidR="006B0025" w:rsidRDefault="006B0025" w:rsidP="006B0025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kern w:val="2"/>
                      <w:sz w:val="20"/>
                      <w:szCs w:val="20"/>
                      <w:lang w:eastAsia="ar-SA"/>
                    </w:rPr>
                    <w:t>OBAZLOŽENJE PROGRAMA KROZ CILJEVE KOJI ĆE SE OSTVARITI PROVEDBOM PROGRAMA:</w:t>
                  </w:r>
                </w:p>
              </w:tc>
              <w:tc>
                <w:tcPr>
                  <w:tcW w:w="6531" w:type="dxa"/>
                </w:tcPr>
                <w:p w14:paraId="250C4151" w14:textId="6BF98774" w:rsidR="00161234" w:rsidRDefault="007B526A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</w:pPr>
                  <w:r w:rsidRPr="007B526A"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  <w:lastRenderedPageBreak/>
                    <w:t>Dokumenti p</w:t>
                  </w:r>
                  <w:r w:rsidR="00161234" w:rsidRPr="007B526A"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  <w:t>rostorno</w:t>
                  </w:r>
                  <w:r w:rsidRPr="007B526A"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  <w:t>g</w:t>
                  </w:r>
                  <w:r w:rsidR="00161234" w:rsidRPr="007B526A"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  <w:t xml:space="preserve"> uređenj</w:t>
                  </w:r>
                  <w:r w:rsidRPr="007B526A"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  <w:t>a</w:t>
                  </w:r>
                  <w:r w:rsidR="00161234" w:rsidRPr="007B526A"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  <w:t xml:space="preserve"> </w:t>
                  </w:r>
                </w:p>
                <w:p w14:paraId="73CA92E5" w14:textId="77777777" w:rsidR="008256AD" w:rsidRPr="007B526A" w:rsidRDefault="008256AD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</w:pPr>
                </w:p>
                <w:p w14:paraId="1D493E70" w14:textId="555C5815" w:rsidR="007B526A" w:rsidRDefault="007B526A" w:rsidP="007B526A">
                  <w:pPr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Osnovni cilj programa je održivo upravljanje prostorom uz omogućavanje gospodarskog rasta i povećanja životnog standarda građana.</w:t>
                  </w:r>
                </w:p>
                <w:p w14:paraId="7DF8F61C" w14:textId="6FBC89B0" w:rsidR="00161234" w:rsidRDefault="007B526A" w:rsidP="00522E0B">
                  <w:pPr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Za ostvarenje ovog cilja potrebno je učinkovito planira</w:t>
                  </w:r>
                  <w:r w:rsidR="00522E0B">
                    <w:rPr>
                      <w:rFonts w:ascii="Calibri" w:hAnsi="Calibri" w:cs="Calibri"/>
                      <w:sz w:val="22"/>
                      <w:szCs w:val="22"/>
                    </w:rPr>
                    <w:t xml:space="preserve">ti uporabu prostora kroz izradu i donošenje dokumenata prostornog uređenja (prostornih planova), 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 upravljanje imovinom, te učinkovitom i brzom 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lastRenderedPageBreak/>
                    <w:t>rješavanju imovinsko – pravnih poslova</w:t>
                  </w:r>
                  <w:r w:rsidR="00522E0B">
                    <w:rPr>
                      <w:rFonts w:ascii="Calibri" w:hAnsi="Calibri" w:cs="Calibri"/>
                      <w:sz w:val="22"/>
                      <w:szCs w:val="22"/>
                    </w:rPr>
                    <w:t xml:space="preserve"> čime bi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 se doprinijeti učinkovitom upravljanju resursima te stvoriti povoljne uvjete za gospodarski razvoj i rast,  za demografsku obnovu prostora</w:t>
                  </w:r>
                  <w:r w:rsidR="00522E0B">
                    <w:rPr>
                      <w:rFonts w:ascii="Calibri" w:hAnsi="Calibri" w:cs="Calibri"/>
                      <w:sz w:val="22"/>
                      <w:szCs w:val="22"/>
                    </w:rPr>
                    <w:t xml:space="preserve"> i podizane standarda građana.</w:t>
                  </w:r>
                </w:p>
                <w:p w14:paraId="3DA6E701" w14:textId="77777777" w:rsidR="00161234" w:rsidRPr="00522E0B" w:rsidRDefault="00161234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16"/>
                      <w:szCs w:val="16"/>
                      <w:lang w:eastAsia="hi-IN" w:bidi="hi-IN"/>
                    </w:rPr>
                  </w:pPr>
                </w:p>
                <w:p w14:paraId="08F94BE2" w14:textId="657DC570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Pokazatelji uspješnosti programa su prikazani za svaku mjeru i to:</w:t>
                  </w:r>
                </w:p>
                <w:p w14:paraId="5EE0DDC3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10.1. – Učinkovita uprava i administracija – pokazatelji uspješnosti su broj izdanih rješenje u postupcima rješavanja imovinsko-pravnih poslova i stambenog zbrinjavanja</w:t>
                  </w:r>
                </w:p>
                <w:p w14:paraId="73A878AC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10.2. Učinkovito i održivo planiranje i upravljanje imovinom i prostorom županije – pokazatelji uspješnosti su broj izdanih izvadaka iz ZKC-a; broj sjednica povjerenstva; broj pregledanih elaborata; broj izdanih lokacijskih dozvola. Broj izdanih lokacijskih informacija, broj sudionika na javnim raspravama</w:t>
                  </w:r>
                </w:p>
                <w:p w14:paraId="212A61D6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10.3. Uređenje naselja i stanovanje – pokazatelji uspješnosti su broj izdanih građevinskih dozvola, broj izdanih uporabnih dozvola, broj terenskih obilazaka</w:t>
                  </w:r>
                </w:p>
                <w:p w14:paraId="71F81240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10.6. Priprema i provedba strateških dokumenata – pokazatelje uspješnosti prati Zavod za prostorno uređenje, a isti su : broj izrađenih i donesenih planova; broj posjetitelja na </w:t>
                  </w:r>
                  <w:proofErr w:type="spellStart"/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geo</w:t>
                  </w:r>
                  <w:proofErr w:type="spellEnd"/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-portalu.</w:t>
                  </w:r>
                </w:p>
                <w:p w14:paraId="7F7F0B3D" w14:textId="77777777" w:rsidR="006B0025" w:rsidRPr="00522E0B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8"/>
                      <w:szCs w:val="8"/>
                      <w:lang w:eastAsia="hi-IN" w:bidi="hi-IN"/>
                    </w:rPr>
                  </w:pPr>
                </w:p>
                <w:p w14:paraId="54E11457" w14:textId="4BD3D2C8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Navedeni pokazatelji se unese u Provedbeni program SMŽ, izrađuje se Izvješće o izvršenju Provedbenog programa za prethodnu godinu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,  te se podaci prikazuju u Izvješću o izvršenju proračuna i u Izvješću o radu župana. T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ijekom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godine ostvareno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je 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sljedeće (do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.10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.):</w:t>
                  </w:r>
                </w:p>
                <w:p w14:paraId="59D62771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Mjera 10.1. – Učinkovita uprava i administracija – pokazatelji uspješnosti </w:t>
                  </w:r>
                </w:p>
                <w:p w14:paraId="07B41217" w14:textId="3082614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bookmarkStart w:id="4" w:name="_Hlk182307012"/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- broj izdanih rješenje u postupcima imovinsko-pravnih poslova -   </w:t>
                  </w:r>
                  <w:r w:rsidR="00D75F76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631</w:t>
                  </w:r>
                </w:p>
                <w:p w14:paraId="2226AF62" w14:textId="70D29D71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- broj izdanih rješenje u postupcima stambenog zbrinjavanja - </w:t>
                  </w:r>
                  <w:r w:rsidR="00D75F76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82</w:t>
                  </w:r>
                </w:p>
                <w:bookmarkEnd w:id="4"/>
                <w:p w14:paraId="412310D4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Mjera 10.2.: učinkovito i održivo planiranje i upravljanje prostorom županije – pokazatelj rezultata su:</w:t>
                  </w:r>
                </w:p>
                <w:p w14:paraId="794960C4" w14:textId="425745B0" w:rsidR="006B0025" w:rsidRDefault="006B0025" w:rsidP="006B0025">
                  <w:pPr>
                    <w:suppressAutoHyphens/>
                    <w:ind w:left="887" w:hanging="142"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- broj izdanih lokacijskih dozvola /ciljana vrijednost 202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=  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20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/ do 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31.10.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 izdano je  lokacijskih dozvola</w:t>
                  </w:r>
                  <w:r w:rsidR="00D75F76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22</w:t>
                  </w:r>
                </w:p>
                <w:p w14:paraId="0F12318C" w14:textId="2B90F19F" w:rsidR="006B0025" w:rsidRDefault="006B0025" w:rsidP="006B0025">
                  <w:pPr>
                    <w:suppressAutoHyphens/>
                    <w:ind w:left="887" w:hanging="142"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- broj izdanih lokacijskih informacija /ciljana vrijednost 202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 =1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27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/ do 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31.10.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izdano je </w:t>
                  </w:r>
                  <w:r w:rsidR="00D75F76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534</w:t>
                  </w:r>
                </w:p>
                <w:p w14:paraId="48038287" w14:textId="068C91A2" w:rsidR="006B0025" w:rsidRDefault="006B0025" w:rsidP="006B0025">
                  <w:pPr>
                    <w:suppressAutoHyphens/>
                    <w:ind w:left="887" w:hanging="142"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- broj sudionika javne rasprave 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(ukoliko su održane)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/ciljana vrijednost 15/ do 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31.10.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broj je bio 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0 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(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nije bilo rasprava o prostornom planu</w:t>
                  </w:r>
                  <w:r w:rsidR="00D75F76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županije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)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</w:t>
                  </w:r>
                </w:p>
                <w:p w14:paraId="49B35780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Mjera 10.3. uređenje naselja i stanovanje – pokazatelji uspješnosti su:</w:t>
                  </w:r>
                </w:p>
                <w:p w14:paraId="003096E8" w14:textId="4A29F64E" w:rsidR="006B0025" w:rsidRDefault="006B0025" w:rsidP="006B0025">
                  <w:pPr>
                    <w:numPr>
                      <w:ilvl w:val="0"/>
                      <w:numId w:val="3"/>
                    </w:num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broj izdanih građevinskih dozvola/ ciljana vrijednost 202</w:t>
                  </w:r>
                  <w:r w:rsidR="00274504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 = 4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8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/ ostvareno do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.10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- </w:t>
                  </w:r>
                  <w:r w:rsidR="00D75F76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232</w:t>
                  </w:r>
                </w:p>
                <w:p w14:paraId="6319E7BE" w14:textId="66506279" w:rsidR="006B0025" w:rsidRDefault="006B0025" w:rsidP="006B0025">
                  <w:pPr>
                    <w:numPr>
                      <w:ilvl w:val="0"/>
                      <w:numId w:val="3"/>
                    </w:num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broj izdanih uporabnih dozvola/ciljana vrijednost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 = 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38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/ ostvareno do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.10.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– </w:t>
                  </w:r>
                  <w:r w:rsidR="00295B20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613</w:t>
                  </w:r>
                </w:p>
                <w:p w14:paraId="73DC5D55" w14:textId="0524AFD4" w:rsidR="006B0025" w:rsidRDefault="006B0025" w:rsidP="006B0025">
                  <w:pPr>
                    <w:numPr>
                      <w:ilvl w:val="0"/>
                      <w:numId w:val="3"/>
                    </w:num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broj terenskih obilazaka/ciljana vrijednost za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=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72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/ ostvareno do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10.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- </w:t>
                  </w:r>
                  <w:r w:rsidR="00295B20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250</w:t>
                  </w:r>
                </w:p>
                <w:p w14:paraId="67F57106" w14:textId="129BFABD" w:rsidR="006B0025" w:rsidRDefault="006B0025" w:rsidP="006B0025">
                  <w:pPr>
                    <w:numPr>
                      <w:ilvl w:val="0"/>
                      <w:numId w:val="3"/>
                    </w:num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bookmarkStart w:id="5" w:name="_Hlk182307165"/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Broj izvadaka iz ZKC-a </w:t>
                  </w:r>
                  <w:bookmarkEnd w:id="5"/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/ciljana vrijednost za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 =1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38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/ ostvareno do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.10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 -</w:t>
                  </w:r>
                  <w:r w:rsidR="00D75F76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326</w:t>
                  </w:r>
                </w:p>
                <w:p w14:paraId="4DFDE9CA" w14:textId="621A5F74" w:rsidR="006B0025" w:rsidRDefault="006B0025" w:rsidP="006B0025">
                  <w:pPr>
                    <w:numPr>
                      <w:ilvl w:val="0"/>
                      <w:numId w:val="3"/>
                    </w:num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Broj sjednica Povjerenstva /ciljana vrijednost za 2023. =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10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/ do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.10.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ostvareno </w:t>
                  </w:r>
                  <w:r w:rsidR="00D75F76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30</w:t>
                  </w:r>
                </w:p>
                <w:p w14:paraId="20FED8D4" w14:textId="18B15262" w:rsidR="006B0025" w:rsidRDefault="006B0025" w:rsidP="006B0025">
                  <w:pPr>
                    <w:numPr>
                      <w:ilvl w:val="0"/>
                      <w:numId w:val="3"/>
                    </w:num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Broj pregledanih Elaborata / ciljana vrijednost za 2023. =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72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/ do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10.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ostvareno </w:t>
                  </w:r>
                  <w:r w:rsidR="00D75F76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138</w:t>
                  </w:r>
                </w:p>
                <w:p w14:paraId="6BD10CD0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Mjera 10.6.priprema i provedba strateških dokumenata prati se kroz 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lastRenderedPageBreak/>
                    <w:t>sljedeće pokazatelje:</w:t>
                  </w:r>
                </w:p>
                <w:p w14:paraId="4DE5728F" w14:textId="63531285" w:rsidR="006B0025" w:rsidRDefault="006B0025" w:rsidP="006B0025">
                  <w:pPr>
                    <w:numPr>
                      <w:ilvl w:val="0"/>
                      <w:numId w:val="3"/>
                    </w:num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Broj donesenih prostornih planova/ ciljana vrijednost za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je 4 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= / ostvareno do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.10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</w:t>
                  </w:r>
                  <w:r w:rsidR="00253664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– 6 planova i 2 pročišćena teksta planova (SMŽ i Sunja)</w:t>
                  </w:r>
                </w:p>
                <w:p w14:paraId="2BACCAB5" w14:textId="52F4AB75" w:rsidR="006B0025" w:rsidRPr="00161234" w:rsidRDefault="006B0025" w:rsidP="006B0025">
                  <w:pPr>
                    <w:numPr>
                      <w:ilvl w:val="0"/>
                      <w:numId w:val="3"/>
                    </w:num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Broj posjetitelja na </w:t>
                  </w:r>
                  <w:proofErr w:type="spellStart"/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geo</w:t>
                  </w:r>
                  <w:proofErr w:type="spellEnd"/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-portalu / ciljana vrijednost za 2023.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je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54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/ ostvareno do 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3</w:t>
                  </w:r>
                  <w:r w:rsidR="00BA6B38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.10.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202</w:t>
                  </w:r>
                  <w:r w:rsidR="00522E0B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4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. – </w:t>
                  </w:r>
                  <w:r w:rsidR="00253664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5260</w:t>
                  </w:r>
                </w:p>
                <w:p w14:paraId="1EE95933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Program Dokumenti prostornog uređenja se provodi kroz sljedeće aktivnosti:</w:t>
                  </w:r>
                </w:p>
                <w:p w14:paraId="790FAC07" w14:textId="2BFC242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b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b/>
                      <w:kern w:val="2"/>
                      <w:sz w:val="22"/>
                      <w:szCs w:val="22"/>
                      <w:lang w:eastAsia="hi-IN" w:bidi="hi-IN"/>
                    </w:rPr>
                    <w:t xml:space="preserve">Aktivnost A100001 - izdavanja akata/dokumenata prostornog uređenja i gradnje </w:t>
                  </w:r>
                </w:p>
                <w:p w14:paraId="694772B7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Ova aktivnost  obuhvaća poslove na vođenju postupaka te donošenje rješenja iz područja prostornog uređenja i gradnje (sukladno odrednicama Zakona o gradnji, Zakona o prostornom uređenju, prostornim planovima), vođenje postupaka izrade i donošenja akata prostornog uređenja u nadležnosti županije i dr. </w:t>
                  </w:r>
                </w:p>
                <w:p w14:paraId="7508BF27" w14:textId="5E9A3C29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Ova aktivnost obuhvaća i postupak izrade i donošenja izmjena i dopuna prostornog plana županije (u tijeku je izrada V. izmjena i dopuna Prostornog plana županije), te vođenje postupaka izrade Strateških studija utjecaja na okoliš Planova, usklađenja Planova i odrednica Strateških studija, te provedbu postupaka javnih uvida i rasprava za navedene dokumente, sukladno zakonskim propisima Zakona o prostornom uređenju, Zakona o zaštiti okoliša, Zakona o zaštiti prirode i podzakonskim aktima vezanim za ove zakone.</w:t>
                  </w:r>
                </w:p>
                <w:p w14:paraId="6B9A31DA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b/>
                      <w:kern w:val="2"/>
                      <w:sz w:val="22"/>
                      <w:szCs w:val="22"/>
                      <w:lang w:eastAsia="hi-IN" w:bidi="hi-IN"/>
                    </w:rPr>
                    <w:t>Aktivnost A100002 - procjena vrijednosti nekretnina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</w:t>
                  </w:r>
                </w:p>
                <w:p w14:paraId="15776D9C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hAnsi="Calibri" w:cs="Calibri"/>
                      <w:color w:val="000000"/>
                      <w:kern w:val="2"/>
                      <w:sz w:val="22"/>
                      <w:szCs w:val="22"/>
                      <w:lang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Ova aktivnost obuhvaća postupke vođenja registra e-Nekretnina, izdavanja informacija i izvadaka, te izradu Plana približnih vrijednosti nekretnina na području SMŽ.</w:t>
                  </w:r>
                  <w:r>
                    <w:rPr>
                      <w:rFonts w:ascii="Calibri" w:hAnsi="Calibri" w:cs="Calibri"/>
                      <w:color w:val="000000"/>
                      <w:kern w:val="2"/>
                      <w:sz w:val="22"/>
                      <w:szCs w:val="22"/>
                      <w:lang w:bidi="hi-IN"/>
                    </w:rPr>
                    <w:t xml:space="preserve"> (Plan približnih vrijednosti nekretnina u RH -kartografski prikaz cjenovnih blokova nekretnina na temelju kojih se određuje tržišna vrijednost nekretnina, koji temeljem članka 70. stavka 3.  Zakona o procjeni  vrijednosti nekretnina izrađuje Ministarstvo graditeljstva i prostornog uređenja. Temeljem tog dokumenta, te  članaka 8. i 12. Zakona, SMŽ je obvezna izraditi Plan približnih vrijednosti nekretnina za svoje područje, a što je planirano provesti kroz ovu aktivnost).</w:t>
                  </w:r>
                </w:p>
                <w:p w14:paraId="314F0F57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hAnsi="Calibri" w:cs="Calibri"/>
                      <w:color w:val="000000"/>
                      <w:kern w:val="2"/>
                      <w:sz w:val="8"/>
                      <w:szCs w:val="8"/>
                      <w:lang w:bidi="hi-IN"/>
                    </w:rPr>
                  </w:pPr>
                </w:p>
                <w:p w14:paraId="4ACAE996" w14:textId="77777777" w:rsidR="00274504" w:rsidRPr="00161234" w:rsidRDefault="00274504" w:rsidP="006B0025">
                  <w:pPr>
                    <w:suppressAutoHyphens/>
                    <w:jc w:val="both"/>
                    <w:rPr>
                      <w:rFonts w:ascii="Calibri" w:hAnsi="Calibri" w:cs="Calibri"/>
                      <w:color w:val="000000"/>
                      <w:kern w:val="2"/>
                      <w:sz w:val="8"/>
                      <w:szCs w:val="8"/>
                      <w:lang w:bidi="hi-IN"/>
                    </w:rPr>
                  </w:pPr>
                </w:p>
                <w:p w14:paraId="51434AC5" w14:textId="77777777" w:rsidR="006B0025" w:rsidRPr="00630ED7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 w:rsidRPr="00F310CC">
                    <w:rPr>
                      <w:rFonts w:ascii="Calibri" w:hAnsi="Calibri" w:cs="Calibri"/>
                      <w:kern w:val="2"/>
                      <w:sz w:val="22"/>
                      <w:szCs w:val="22"/>
                      <w:lang w:eastAsia="ar-SA"/>
                    </w:rPr>
                    <w:t>Postizanje ciljeva provedbom ovog programa obrazloženo je u dijelu pokazatelji uspješnosti programa</w:t>
                  </w:r>
                  <w:r>
                    <w:rPr>
                      <w:rFonts w:ascii="Calibri" w:hAnsi="Calibri" w:cs="Calibri"/>
                      <w:kern w:val="2"/>
                      <w:sz w:val="22"/>
                      <w:szCs w:val="22"/>
                      <w:lang w:eastAsia="ar-SA"/>
                    </w:rPr>
                    <w:t>, te se smatra da će se učinkovitom provedbom programa ostvariti zadani ciljevi, odnosno da će se ostvariti u</w:t>
                  </w:r>
                  <w:r w:rsidRPr="00630ED7"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činkovito upravljanje resursima koje se očituje kroz mjere:</w:t>
                  </w:r>
                </w:p>
                <w:p w14:paraId="1D983891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            10.1. učinkovita uprava i administracija</w:t>
                  </w:r>
                </w:p>
                <w:p w14:paraId="73BED3B6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            10. 2. učinkovito i održivo planiranje i upravljanje imovinom i </w:t>
                  </w:r>
                </w:p>
                <w:p w14:paraId="7ACCE06E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                        prostorom županije</w:t>
                  </w:r>
                </w:p>
                <w:p w14:paraId="20CACAC8" w14:textId="77777777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            10.3. uređenje naselja i stanovanje</w:t>
                  </w:r>
                </w:p>
                <w:p w14:paraId="104C1160" w14:textId="1ED22703" w:rsidR="006B0025" w:rsidRDefault="006B0025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            10.6. priprema i provedba strateških dokumenata</w:t>
                  </w:r>
                </w:p>
                <w:p w14:paraId="3D5E8682" w14:textId="77777777" w:rsidR="00274504" w:rsidRPr="00274504" w:rsidRDefault="00274504" w:rsidP="006B0025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16"/>
                      <w:szCs w:val="16"/>
                      <w:lang w:eastAsia="hi-IN" w:bidi="hi-IN"/>
                    </w:rPr>
                  </w:pPr>
                </w:p>
                <w:p w14:paraId="509AA10E" w14:textId="58E9C9BC" w:rsidR="006B0025" w:rsidRPr="00266E7C" w:rsidRDefault="00274504" w:rsidP="0025366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Provedbom ovih mjera ostvario bi se osnovi cilj, a to je 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održivo upravljanje prostorom uz omogućavanje gospodarskog rasta i povećanja životnog standarda građana.</w:t>
                  </w:r>
                </w:p>
              </w:tc>
            </w:tr>
          </w:tbl>
          <w:p w14:paraId="37B5F572" w14:textId="77777777" w:rsidR="00B3540D" w:rsidRPr="00A57AF5" w:rsidRDefault="00B3540D" w:rsidP="001239CA">
            <w:pPr>
              <w:tabs>
                <w:tab w:val="left" w:pos="3053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529362CE" w14:textId="77777777" w:rsidR="00274504" w:rsidRDefault="00274504" w:rsidP="00B3540D">
      <w:pPr>
        <w:widowControl w:val="0"/>
        <w:suppressAutoHyphens/>
        <w:rPr>
          <w:rFonts w:ascii="Calibri" w:eastAsia="SimSun" w:hAnsi="Calibri" w:cs="Calibri"/>
          <w:vanish/>
          <w:kern w:val="2"/>
          <w:lang w:eastAsia="hi-IN" w:bidi="hi-IN"/>
        </w:rPr>
      </w:pPr>
    </w:p>
    <w:p w14:paraId="0E079DE2" w14:textId="77777777" w:rsidR="00161234" w:rsidRDefault="00161234" w:rsidP="00B3540D">
      <w:pPr>
        <w:tabs>
          <w:tab w:val="left" w:pos="3053"/>
        </w:tabs>
        <w:rPr>
          <w:rFonts w:ascii="Calibri" w:hAnsi="Calibri" w:cs="Calibri"/>
          <w:bCs/>
          <w:sz w:val="22"/>
          <w:szCs w:val="22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6652"/>
      </w:tblGrid>
      <w:tr w:rsidR="00161234" w14:paraId="4CF66393" w14:textId="77777777" w:rsidTr="00161234">
        <w:tc>
          <w:tcPr>
            <w:tcW w:w="2268" w:type="dxa"/>
          </w:tcPr>
          <w:p w14:paraId="36D17C38" w14:textId="77777777" w:rsidR="00161234" w:rsidRPr="008256AD" w:rsidRDefault="00161234" w:rsidP="00B3540D">
            <w:pPr>
              <w:tabs>
                <w:tab w:val="left" w:pos="3053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bookmarkStart w:id="6" w:name="_Hlk182307838"/>
            <w:r w:rsidRPr="008256AD">
              <w:rPr>
                <w:rFonts w:ascii="Calibri" w:hAnsi="Calibri" w:cs="Calibri"/>
                <w:b/>
                <w:sz w:val="22"/>
                <w:szCs w:val="22"/>
              </w:rPr>
              <w:t>NAZIV PROGRAMA</w:t>
            </w:r>
          </w:p>
          <w:p w14:paraId="3CD767A3" w14:textId="77777777" w:rsidR="00274504" w:rsidRDefault="00274504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2517EB6" w14:textId="77777777" w:rsidR="00161234" w:rsidRPr="008256AD" w:rsidRDefault="00161234" w:rsidP="00B3540D">
            <w:pPr>
              <w:tabs>
                <w:tab w:val="left" w:pos="3053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8256AD">
              <w:rPr>
                <w:rFonts w:ascii="Calibri" w:hAnsi="Calibri" w:cs="Calibri"/>
                <w:b/>
                <w:sz w:val="22"/>
                <w:szCs w:val="22"/>
              </w:rPr>
              <w:t>CILJ PROGRAMA:</w:t>
            </w:r>
          </w:p>
          <w:p w14:paraId="05E0390D" w14:textId="77777777" w:rsidR="00161234" w:rsidRDefault="00161234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8151060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78471B9" w14:textId="127A477C" w:rsidR="00161234" w:rsidRPr="008256AD" w:rsidRDefault="00161234" w:rsidP="00B3540D">
            <w:pPr>
              <w:tabs>
                <w:tab w:val="left" w:pos="3053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8256AD">
              <w:rPr>
                <w:rFonts w:ascii="Calibri" w:hAnsi="Calibri" w:cs="Calibri"/>
                <w:b/>
                <w:sz w:val="22"/>
                <w:szCs w:val="22"/>
              </w:rPr>
              <w:t>POKAZATELJI USPJEŠNOSTI PROGRAMA:</w:t>
            </w:r>
          </w:p>
          <w:p w14:paraId="5E15C65D" w14:textId="77777777" w:rsidR="00161234" w:rsidRDefault="00161234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401FA2E" w14:textId="77777777" w:rsidR="00161234" w:rsidRPr="008256AD" w:rsidRDefault="00161234" w:rsidP="00B3540D">
            <w:pPr>
              <w:tabs>
                <w:tab w:val="left" w:pos="3053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8256AD">
              <w:rPr>
                <w:rFonts w:ascii="Calibri" w:hAnsi="Calibri" w:cs="Calibri"/>
                <w:b/>
                <w:sz w:val="22"/>
                <w:szCs w:val="22"/>
              </w:rPr>
              <w:t>OPIS PROGRAMA:</w:t>
            </w:r>
          </w:p>
          <w:p w14:paraId="0CDB6E5A" w14:textId="77777777" w:rsidR="00161234" w:rsidRDefault="00161234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FCDCB13" w14:textId="77777777" w:rsidR="00274504" w:rsidRDefault="00274504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C781CA4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F847F0F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54223A6F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DE89E2E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BB790EE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9B08BEF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581C00AB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871004B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D78E34A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B13F9E8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7A680D0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269FF8E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542C5E7C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F77FD5B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5D1742B" w14:textId="24EE4FF2" w:rsidR="00161234" w:rsidRPr="008256AD" w:rsidRDefault="00161234" w:rsidP="00B3540D">
            <w:pPr>
              <w:tabs>
                <w:tab w:val="left" w:pos="3053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8256AD">
              <w:rPr>
                <w:rFonts w:ascii="Calibri" w:hAnsi="Calibri" w:cs="Calibri"/>
                <w:b/>
                <w:sz w:val="22"/>
                <w:szCs w:val="22"/>
              </w:rPr>
              <w:t>OBRAZLOŽENJE PROGRAMA KROZ CILJEVE KOJI ĆE SE OSTVARITI PROVEDBOM PROGRAMA:</w:t>
            </w:r>
          </w:p>
        </w:tc>
        <w:tc>
          <w:tcPr>
            <w:tcW w:w="6657" w:type="dxa"/>
          </w:tcPr>
          <w:p w14:paraId="29F0035B" w14:textId="77777777" w:rsidR="00161234" w:rsidRDefault="00161234" w:rsidP="00B3540D">
            <w:pPr>
              <w:tabs>
                <w:tab w:val="left" w:pos="3053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27450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Upravljanje državnom imovinom</w:t>
            </w:r>
            <w:r w:rsidR="00274504" w:rsidRPr="00274504">
              <w:rPr>
                <w:rFonts w:ascii="Calibri" w:hAnsi="Calibri" w:cs="Calibri"/>
                <w:b/>
                <w:sz w:val="22"/>
                <w:szCs w:val="22"/>
              </w:rPr>
              <w:t xml:space="preserve"> u nadležnosti županije</w:t>
            </w:r>
          </w:p>
          <w:p w14:paraId="666EA38B" w14:textId="77777777" w:rsidR="008256AD" w:rsidRDefault="008256AD" w:rsidP="008256A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679578A" w14:textId="548AA87D" w:rsidR="008256AD" w:rsidRPr="008256AD" w:rsidRDefault="008256AD" w:rsidP="008256AD">
            <w:pPr>
              <w:rPr>
                <w:rFonts w:ascii="Calibri" w:hAnsi="Calibri" w:cs="Calibri"/>
                <w:sz w:val="22"/>
                <w:szCs w:val="22"/>
              </w:rPr>
            </w:pPr>
            <w:r w:rsidRPr="008256AD">
              <w:rPr>
                <w:rFonts w:ascii="Calibri" w:hAnsi="Calibri" w:cs="Calibri"/>
                <w:sz w:val="22"/>
                <w:szCs w:val="22"/>
              </w:rPr>
              <w:t xml:space="preserve">Poduzimanje svih radnji u vezi nekretnina u vlasništvu RH s pažnjom </w:t>
            </w:r>
            <w:r w:rsidRPr="008256AD">
              <w:rPr>
                <w:rFonts w:ascii="Calibri" w:hAnsi="Calibri" w:cs="Calibri"/>
                <w:sz w:val="22"/>
                <w:szCs w:val="22"/>
              </w:rPr>
              <w:lastRenderedPageBreak/>
              <w:t>dobrog gospodara i zakonskim načelima upravljanja nekretninama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8256AD">
              <w:rPr>
                <w:rFonts w:ascii="Calibri" w:hAnsi="Calibri" w:cs="Calibri"/>
                <w:sz w:val="22"/>
                <w:szCs w:val="22"/>
              </w:rPr>
              <w:t>radi uređenja pravnih odnosa na toj državnoj imovini.</w:t>
            </w:r>
          </w:p>
          <w:p w14:paraId="71FA9EE1" w14:textId="77777777" w:rsidR="00274504" w:rsidRPr="008256AD" w:rsidRDefault="00274504" w:rsidP="00B3540D">
            <w:pPr>
              <w:tabs>
                <w:tab w:val="left" w:pos="3053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3E2FCE83" w14:textId="77777777" w:rsidR="008256AD" w:rsidRDefault="008256AD" w:rsidP="008256AD">
            <w:pPr>
              <w:rPr>
                <w:rFonts w:ascii="Calibri" w:hAnsi="Calibri" w:cs="Calibri"/>
                <w:sz w:val="22"/>
                <w:szCs w:val="22"/>
              </w:rPr>
            </w:pPr>
            <w:r w:rsidRPr="008256AD">
              <w:rPr>
                <w:rFonts w:ascii="Calibri" w:hAnsi="Calibri" w:cs="Calibri"/>
                <w:sz w:val="22"/>
                <w:szCs w:val="22"/>
              </w:rPr>
              <w:t>Broj riješenih predmeta odnosno imovinsko-pravnih odnosa i stavljanje nekretnina u funkciju.</w:t>
            </w:r>
          </w:p>
          <w:p w14:paraId="5EF86D57" w14:textId="77777777" w:rsidR="008256AD" w:rsidRPr="008256AD" w:rsidRDefault="008256AD" w:rsidP="008256A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899C13C" w14:textId="77777777" w:rsidR="008256AD" w:rsidRPr="008256AD" w:rsidRDefault="008256AD" w:rsidP="008256A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56AD">
              <w:rPr>
                <w:rFonts w:ascii="Calibri" w:hAnsi="Calibri" w:cs="Calibri"/>
                <w:sz w:val="22"/>
                <w:szCs w:val="22"/>
              </w:rPr>
              <w:t xml:space="preserve">Upravljanje neizgrađenim građevinskim zemljištem i građevinama sa zemljištem nužnim za redovitu uporabu te građevine, a koje se nalaze na području Sisačko-moslavačke županije osim grada sjedišta županije ili ako zakonom ili posebnim propisima nije drugačije propisano. </w:t>
            </w:r>
          </w:p>
          <w:p w14:paraId="2D96D3AB" w14:textId="77777777" w:rsidR="008256AD" w:rsidRPr="008256AD" w:rsidRDefault="008256AD" w:rsidP="008256A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56AD">
              <w:rPr>
                <w:rFonts w:ascii="Calibri" w:hAnsi="Calibri" w:cs="Calibri"/>
                <w:sz w:val="22"/>
                <w:szCs w:val="22"/>
              </w:rPr>
              <w:t xml:space="preserve">Raspolaganje nekretninama provodi se sklapanjem pravnih poslova čija je posljedica prijenos, otuđenje ili ograničenje prava vlasništva RH u korist fizičke ili pravne osobe i to: prodaja, darovanje, osnivanje prava građenja, osnivanje prava služnosti , zakup, najam i razvrgnuće suvlasničke zajednice. </w:t>
            </w:r>
          </w:p>
          <w:p w14:paraId="0E431BCB" w14:textId="77777777" w:rsidR="008256AD" w:rsidRPr="008256AD" w:rsidRDefault="008256AD" w:rsidP="008256A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56AD">
              <w:rPr>
                <w:rFonts w:ascii="Calibri" w:hAnsi="Calibri" w:cs="Calibri"/>
                <w:sz w:val="22"/>
                <w:szCs w:val="22"/>
              </w:rPr>
              <w:t>Izvršavanje svih vlasničkih prava i dužnosti na nekretninama u vlasništvu RH.</w:t>
            </w:r>
          </w:p>
          <w:p w14:paraId="3F8DF7F6" w14:textId="77777777" w:rsidR="008256AD" w:rsidRPr="008256AD" w:rsidRDefault="008256AD" w:rsidP="008256A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56AD">
              <w:rPr>
                <w:rFonts w:ascii="Calibri" w:hAnsi="Calibri" w:cs="Calibri"/>
                <w:sz w:val="22"/>
                <w:szCs w:val="22"/>
              </w:rPr>
              <w:t xml:space="preserve">Investicijsko i tekuće održavanje nekretnina u vlasništvu RH, po potrebi utvrđivanje ili promjena namjene nekretnine, podnošenje zahtjeva  u postupcima izrade prostornih planova, suglasnosti u postupku ishođenja akata prostornog uređenja i gradnje, geodetskih elaborata i drugim postupcima kojima se izravno i/ili neizravno utječe na državnu imovinu. </w:t>
            </w:r>
          </w:p>
          <w:p w14:paraId="7B10B747" w14:textId="77777777" w:rsidR="008256AD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219B247" w14:textId="2EE0CD45" w:rsidR="008256AD" w:rsidRPr="008256AD" w:rsidRDefault="008256AD" w:rsidP="008256AD">
            <w:pPr>
              <w:tabs>
                <w:tab w:val="left" w:pos="3053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56AD">
              <w:rPr>
                <w:rFonts w:ascii="Calibri" w:hAnsi="Calibri" w:cs="Calibri"/>
                <w:sz w:val="22"/>
                <w:szCs w:val="22"/>
              </w:rPr>
              <w:t>Ostvarenjem ciljeva ovoga programa postići će se optimizacija upravljanja državnom imovinom i ubrzati stavljanje u funkciju neiskorištenih nekretnina. Lakše će se pratiti  rezultati i učinci  upravljanja nekretninama u vlasništvu RH kao i smanjiti portfelj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8256AD">
              <w:rPr>
                <w:rFonts w:ascii="Calibri" w:hAnsi="Calibri" w:cs="Calibri"/>
                <w:sz w:val="22"/>
                <w:szCs w:val="22"/>
              </w:rPr>
              <w:t xml:space="preserve"> nekretnina u vlasništvu RH.</w:t>
            </w:r>
          </w:p>
          <w:p w14:paraId="0F62662C" w14:textId="16C0CEC7" w:rsidR="008256AD" w:rsidRPr="00274504" w:rsidRDefault="008256AD" w:rsidP="00B3540D">
            <w:pPr>
              <w:tabs>
                <w:tab w:val="left" w:pos="3053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bookmarkEnd w:id="6"/>
    </w:tbl>
    <w:p w14:paraId="248FA63C" w14:textId="77777777" w:rsidR="00161234" w:rsidRDefault="00161234" w:rsidP="00B3540D">
      <w:pPr>
        <w:tabs>
          <w:tab w:val="left" w:pos="3053"/>
        </w:tabs>
        <w:rPr>
          <w:rFonts w:ascii="Calibri" w:hAnsi="Calibri" w:cs="Calibri"/>
          <w:bCs/>
          <w:sz w:val="22"/>
          <w:szCs w:val="22"/>
        </w:rPr>
      </w:pPr>
    </w:p>
    <w:p w14:paraId="11A2EE2C" w14:textId="7751188B" w:rsidR="00B3540D" w:rsidRDefault="00B3540D" w:rsidP="00B3540D">
      <w:pPr>
        <w:tabs>
          <w:tab w:val="left" w:pos="3053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Obrazloženje proračuna  u dijelu koji se odnosi na Zavod za prostorno uređenje Sisačko-moslavačke </w:t>
      </w:r>
      <w:r w:rsidRPr="001B7F98">
        <w:rPr>
          <w:rFonts w:asciiTheme="minorHAnsi" w:hAnsiTheme="minorHAnsi" w:cstheme="minorHAnsi"/>
          <w:bCs/>
          <w:sz w:val="22"/>
          <w:szCs w:val="22"/>
        </w:rPr>
        <w:t>županije daje v.d. ravnateljica Zavoda</w:t>
      </w:r>
      <w:r w:rsidR="00253664">
        <w:rPr>
          <w:rFonts w:asciiTheme="minorHAnsi" w:hAnsiTheme="minorHAnsi" w:cstheme="minorHAnsi"/>
          <w:bCs/>
          <w:sz w:val="22"/>
          <w:szCs w:val="22"/>
        </w:rPr>
        <w:t>.</w:t>
      </w:r>
    </w:p>
    <w:p w14:paraId="4B38B98D" w14:textId="77777777" w:rsidR="00253664" w:rsidRDefault="00253664" w:rsidP="00253664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  <w:r w:rsidRPr="00253664">
        <w:rPr>
          <w:rFonts w:ascii="Calibri" w:hAnsi="Calibri" w:cs="Calibri"/>
          <w:sz w:val="22"/>
          <w:szCs w:val="22"/>
        </w:rPr>
        <w:t>Financijski plan Zavoda za prostorno uređenje za 2025. godinu s projekcijama za 2026. i 2027. godinu je donijelo Upravno vijeće Zavoda na 25. sjednici održanoj 30.10.2024. godine (KLASA;007-03/24-02/06; URBROJ:2176-117-02-24-4), a isti je utemeljen na Program rada Zavoda za 2025. godinu, koji je također donijelo Upravno vijeće Zavoda dana 30.10.2024. godine (</w:t>
      </w:r>
      <w:r>
        <w:rPr>
          <w:rFonts w:ascii="Calibri" w:hAnsi="Calibri" w:cs="Calibri"/>
          <w:sz w:val="22"/>
          <w:szCs w:val="22"/>
        </w:rPr>
        <w:t>KLASA</w:t>
      </w:r>
      <w:r w:rsidRPr="00253664">
        <w:rPr>
          <w:rFonts w:ascii="Calibri" w:hAnsi="Calibri" w:cs="Calibri"/>
          <w:sz w:val="22"/>
          <w:szCs w:val="22"/>
        </w:rPr>
        <w:t xml:space="preserve">:007-03/24-02/06, </w:t>
      </w:r>
      <w:r>
        <w:rPr>
          <w:rFonts w:ascii="Calibri" w:hAnsi="Calibri" w:cs="Calibri"/>
          <w:sz w:val="22"/>
          <w:szCs w:val="22"/>
        </w:rPr>
        <w:t>URBROJ</w:t>
      </w:r>
      <w:r w:rsidRPr="00253664">
        <w:rPr>
          <w:rFonts w:ascii="Calibri" w:hAnsi="Calibri" w:cs="Calibri"/>
          <w:sz w:val="22"/>
          <w:szCs w:val="22"/>
        </w:rPr>
        <w:t>:2176-117-01-24-3)</w:t>
      </w:r>
      <w:r>
        <w:rPr>
          <w:rFonts w:ascii="Calibri" w:hAnsi="Calibri" w:cs="Calibri"/>
          <w:sz w:val="22"/>
          <w:szCs w:val="22"/>
        </w:rPr>
        <w:t>. Na oba dokumenta župan je sukladno članku 5. Odluke o osnivanju Zavoda dao suglasnost 4. studenog 2024. godine.</w:t>
      </w:r>
    </w:p>
    <w:p w14:paraId="3297D59E" w14:textId="77777777" w:rsidR="00B3540D" w:rsidRPr="001B7F98" w:rsidRDefault="00B3540D" w:rsidP="00B3540D">
      <w:pPr>
        <w:tabs>
          <w:tab w:val="left" w:pos="3053"/>
        </w:tabs>
        <w:rPr>
          <w:rFonts w:asciiTheme="minorHAnsi" w:hAnsiTheme="minorHAnsi" w:cstheme="minorHAnsi"/>
          <w:bCs/>
          <w:sz w:val="22"/>
          <w:szCs w:val="22"/>
        </w:rPr>
      </w:pPr>
    </w:p>
    <w:p w14:paraId="05EADAC1" w14:textId="0682F347" w:rsidR="00B3540D" w:rsidRDefault="00B3540D" w:rsidP="00B3540D">
      <w:pPr>
        <w:widowControl w:val="0"/>
        <w:ind w:right="302"/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</w:pPr>
      <w:r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>6.2.</w:t>
      </w:r>
      <w:r w:rsidRPr="001B7F98"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 xml:space="preserve">OBRAZLOŽENJE </w:t>
      </w:r>
      <w:r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>POSEBNOG DIJELA PRORAČUNA</w:t>
      </w:r>
      <w:r w:rsidR="007944C3"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 xml:space="preserve"> JU </w:t>
      </w:r>
      <w:r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 xml:space="preserve"> </w:t>
      </w:r>
      <w:r w:rsidRPr="00CF4E28"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>ZAVOD ZA PROSTORNO UREĐENJE</w:t>
      </w:r>
      <w:r w:rsidR="007944C3"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 xml:space="preserve"> SMŽ</w:t>
      </w:r>
    </w:p>
    <w:p w14:paraId="1DD6D51D" w14:textId="77777777" w:rsidR="00B3540D" w:rsidRPr="001B7F98" w:rsidRDefault="00B3540D" w:rsidP="00B3540D">
      <w:pPr>
        <w:widowControl w:val="0"/>
        <w:ind w:right="302"/>
        <w:rPr>
          <w:rFonts w:asciiTheme="minorHAnsi" w:eastAsia="Arial" w:hAnsiTheme="minorHAnsi" w:cstheme="minorHAnsi"/>
          <w:b/>
          <w:bCs/>
          <w:color w:val="231F20"/>
          <w:sz w:val="8"/>
          <w:szCs w:val="8"/>
          <w:u w:val="single"/>
          <w:shd w:val="clear" w:color="auto" w:fill="FFFFFF"/>
          <w:lang w:eastAsia="hr-HR" w:bidi="hr-HR"/>
        </w:rPr>
      </w:pPr>
    </w:p>
    <w:p w14:paraId="2AA6FF0B" w14:textId="16D81A27" w:rsidR="00925AC3" w:rsidRDefault="00925AC3" w:rsidP="00925AC3">
      <w:pPr>
        <w:spacing w:after="160" w:line="256" w:lineRule="auto"/>
        <w:jc w:val="both"/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          </w:t>
      </w:r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Financijski plan Zavoda  za prostorno uređenje Sisačko - moslavačke županije za 202</w:t>
      </w:r>
      <w:r w:rsidR="00D75F76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5</w:t>
      </w:r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. godinu s projekcijama za 202</w:t>
      </w:r>
      <w:r w:rsidR="0022605F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6</w:t>
      </w:r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. i 202</w:t>
      </w:r>
      <w:r w:rsidR="0022605F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7</w:t>
      </w:r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. godinu (u daljnjem tekstu: Financijski plan Zavoda) sadrži opći dio i posebni dio te obrazloženje Financijskog plana.</w:t>
      </w:r>
      <w:r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Opći dio Financijskog plana Zavoda sadrži sažetak Računa prihoda i rashoda i Računa financiranja, Račun prihoda i rashoda i Račun financiranja te preneseni višak prihoda.</w:t>
      </w:r>
      <w:r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Posebni dio Prijedloga Financijskog plana Zavoda sastoji se od </w:t>
      </w:r>
      <w:bookmarkStart w:id="7" w:name="_Hlk147171318"/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Plana rashoda i izdataka iskazanih po izvorima financiranja i ekonomskoj klasifikaciji,</w:t>
      </w:r>
      <w:bookmarkEnd w:id="7"/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 raspoređenih u programe koji se sastoje od aktivnosti i projekata.</w:t>
      </w:r>
      <w:r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 Cijeli financijski plan je moguće preuzeti na web stranicama Zavoda, a ovdje se daje </w:t>
      </w:r>
      <w:bookmarkStart w:id="8" w:name="_Hlk147216146"/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obrazloženja općeg </w:t>
      </w:r>
      <w:r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i p</w:t>
      </w:r>
      <w:r w:rsidRPr="00925AC3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osebnog dijela Financijskog plana.</w:t>
      </w:r>
    </w:p>
    <w:p w14:paraId="7650E9AF" w14:textId="59018BAB" w:rsidR="00925AC3" w:rsidRDefault="00925AC3" w:rsidP="00120B24">
      <w:pPr>
        <w:tabs>
          <w:tab w:val="left" w:pos="9810"/>
        </w:tabs>
        <w:spacing w:line="280" w:lineRule="exact"/>
        <w:ind w:right="72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           </w:t>
      </w:r>
      <w:r w:rsidRPr="00925AC3">
        <w:rPr>
          <w:rFonts w:asciiTheme="minorHAnsi" w:eastAsia="Arial" w:hAnsiTheme="minorHAnsi" w:cstheme="minorHAnsi"/>
          <w:sz w:val="22"/>
          <w:szCs w:val="22"/>
        </w:rPr>
        <w:t xml:space="preserve">Zavod za prostorno uređenje </w:t>
      </w:r>
      <w:bookmarkStart w:id="9" w:name="_Hlk142467725"/>
      <w:r w:rsidRPr="00925AC3">
        <w:rPr>
          <w:rFonts w:asciiTheme="minorHAnsi" w:eastAsia="Arial" w:hAnsiTheme="minorHAnsi" w:cstheme="minorHAnsi"/>
          <w:sz w:val="22"/>
          <w:szCs w:val="22"/>
        </w:rPr>
        <w:t xml:space="preserve">Sisačko-moslavačke županije </w:t>
      </w:r>
      <w:bookmarkEnd w:id="9"/>
      <w:r w:rsidRPr="00925AC3">
        <w:rPr>
          <w:rFonts w:asciiTheme="minorHAnsi" w:eastAsia="Arial" w:hAnsiTheme="minorHAnsi" w:cstheme="minorHAnsi"/>
          <w:sz w:val="22"/>
          <w:szCs w:val="22"/>
        </w:rPr>
        <w:t xml:space="preserve">(u daljnjem tekstu: Zavod) osnovan je temeljem Zakona o prostornom uređenju i gradnji („Narodne novine", broj 76/07, 38/09, 55/11, </w:t>
      </w:r>
      <w:r w:rsidRPr="00925AC3">
        <w:rPr>
          <w:rFonts w:asciiTheme="minorHAnsi" w:eastAsia="Arial" w:hAnsiTheme="minorHAnsi" w:cstheme="minorHAnsi"/>
          <w:sz w:val="22"/>
          <w:szCs w:val="22"/>
        </w:rPr>
        <w:lastRenderedPageBreak/>
        <w:t>90/11 i 50/12) kao javna ustanova za obavljanje djelatnosti prostornog uređenja Sisačko-moslavačke županije.</w:t>
      </w:r>
    </w:p>
    <w:p w14:paraId="35A92674" w14:textId="51225E7D" w:rsidR="00925AC3" w:rsidRDefault="00925AC3" w:rsidP="00120B24">
      <w:pPr>
        <w:tabs>
          <w:tab w:val="left" w:pos="9810"/>
        </w:tabs>
        <w:spacing w:line="280" w:lineRule="exact"/>
        <w:ind w:right="72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            </w:t>
      </w:r>
      <w:r w:rsidRPr="00925AC3">
        <w:rPr>
          <w:rFonts w:asciiTheme="minorHAnsi" w:eastAsia="Arial" w:hAnsiTheme="minorHAnsi" w:cstheme="minorHAnsi"/>
          <w:sz w:val="22"/>
          <w:szCs w:val="22"/>
        </w:rPr>
        <w:t xml:space="preserve">Djelatnost Zavoda utvrđena je Zakonom o prostornom uređenju („Narodne novine", broj 153/13, 65/17, 114/18, 39/19, 98/19 </w:t>
      </w:r>
      <w:bookmarkStart w:id="10" w:name="_Hlk147401545"/>
      <w:r w:rsidRPr="00925AC3">
        <w:rPr>
          <w:rFonts w:asciiTheme="minorHAnsi" w:eastAsia="Arial" w:hAnsiTheme="minorHAnsi" w:cstheme="minorHAnsi"/>
          <w:sz w:val="22"/>
          <w:szCs w:val="22"/>
        </w:rPr>
        <w:t>i 67/23</w:t>
      </w:r>
      <w:bookmarkEnd w:id="10"/>
      <w:r w:rsidRPr="00925AC3">
        <w:rPr>
          <w:rFonts w:asciiTheme="minorHAnsi" w:eastAsia="Arial" w:hAnsiTheme="minorHAnsi" w:cstheme="minorHAnsi"/>
          <w:sz w:val="22"/>
          <w:szCs w:val="22"/>
        </w:rPr>
        <w:t>) i obuhvaća: izradu, odnosno koordinaciju izrade i praćenje provedbe prostornih planova područne razine, izradu izvješća o stanju u prostoru, vođenje informacijskog sustava prostornog uređenja i upravljanje istim u okviru njegovih ovlasti, pripremu polazišta za izradu, odnosno stavljanje izvan snage prostornih planova užih područja, pružanje stručne savjetodavne pomoći u izradi prostornih planova lokalne razine, izradu prostornih planova uređenja gradova i općina, generalnih urbanističkih planova, urbanističkih planova uređenja od značaja za Državu, odnosno Županiju te obavljanje stručno analitičkih poslova iz područja prostornog uređenja, ako to zatraži nadležno Ministarstvo ili Župan i druge poslove u skladu sa Zakonom o prostornom uređenju i Statutom Zavoda.</w:t>
      </w:r>
    </w:p>
    <w:p w14:paraId="4E271C87" w14:textId="1FC52856" w:rsidR="00925AC3" w:rsidRPr="00D75F76" w:rsidRDefault="00925AC3" w:rsidP="00D75F76">
      <w:pPr>
        <w:tabs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75F76">
        <w:rPr>
          <w:rFonts w:asciiTheme="minorHAnsi" w:eastAsia="Arial" w:hAnsiTheme="minorHAnsi" w:cstheme="minorHAnsi"/>
          <w:sz w:val="22"/>
          <w:szCs w:val="22"/>
        </w:rPr>
        <w:t xml:space="preserve">          U okviru redovne djelatnosti Zavoda planirana  su sredstva za plaće i doprinose, materijalne i financijske rashode i nabavu uredske opreme, namještaja i računalnih programa.</w:t>
      </w:r>
    </w:p>
    <w:p w14:paraId="356ED917" w14:textId="77777777" w:rsidR="0022605F" w:rsidRDefault="00925AC3" w:rsidP="0022605F">
      <w:pPr>
        <w:tabs>
          <w:tab w:val="left" w:pos="8730"/>
          <w:tab w:val="left" w:pos="9810"/>
        </w:tabs>
        <w:spacing w:after="160"/>
        <w:ind w:left="-90" w:right="66"/>
        <w:jc w:val="both"/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</w:pPr>
      <w:r w:rsidRPr="00D75F76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          Izračuni i ocjene  potrebnih sredstava planirani su temeljem stvarnih troškova iz prethodnih godina uvažavajući potrebu za održavanjem odnosno unaprjeđenjem postojećih standarda.</w:t>
      </w:r>
      <w:bookmarkEnd w:id="8"/>
    </w:p>
    <w:p w14:paraId="0CECBB5C" w14:textId="77777777" w:rsidR="0022605F" w:rsidRDefault="0022605F" w:rsidP="0022605F">
      <w:pPr>
        <w:tabs>
          <w:tab w:val="left" w:pos="8730"/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          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Financijskim planom za 2025. godinu predviđeni su ukupni prihodi Zavoda u iznosu od 468.468,87 eura, što je za 38.390,61 eura (7,57 %) manje u odnosu na Financijski plan Zavoda</w:t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za prethodnu 2024. godinu</w:t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.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Sveukupni prihodi sastoje se od očekivanih prihoda iz nadležnog proračuna koji iznose 315.448,73 eura, vlastitih prihoda koji iznose </w:t>
      </w:r>
      <w:r w:rsidRPr="0022605F">
        <w:rPr>
          <w:rFonts w:asciiTheme="minorHAnsi" w:hAnsiTheme="minorHAnsi" w:cstheme="minorHAnsi"/>
          <w:sz w:val="22"/>
          <w:szCs w:val="22"/>
        </w:rPr>
        <w:t xml:space="preserve">56.084,00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eura, pomoći iz nenadležnog proračuna koji iznose</w:t>
      </w:r>
      <w:r w:rsidRPr="0022605F">
        <w:rPr>
          <w:rFonts w:asciiTheme="minorHAnsi" w:eastAsia="Courier New" w:hAnsiTheme="minorHAnsi" w:cstheme="minorHAnsi"/>
          <w:sz w:val="22"/>
          <w:szCs w:val="22"/>
          <w:lang w:eastAsia="hr-HR" w:bidi="hr-HR"/>
        </w:rPr>
        <w:t xml:space="preserve">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83.842,84 eura i ostalih prihoda u iznosu od  13.093,30 eura. Dio prenesenih sredstva iz prethodnih godina (višak prihoda) planira se potrošiti u 2025. godini u iznosu od 46.450,00 eura.</w:t>
      </w:r>
    </w:p>
    <w:p w14:paraId="559C39D5" w14:textId="181DD38B" w:rsidR="0022605F" w:rsidRPr="0022605F" w:rsidRDefault="0022605F" w:rsidP="0022605F">
      <w:pPr>
        <w:tabs>
          <w:tab w:val="left" w:pos="8730"/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         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Planirani prihodi u 2025. godini iz Županijskog proračuna smanjeni su u odnosu na 2024. godinu  za 11,59 %.</w:t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Vlastiti prihodi od pruženih usluga planiraju se u iznosu od 2.600,00 eura. </w:t>
      </w:r>
    </w:p>
    <w:p w14:paraId="656392F1" w14:textId="4B49453A" w:rsidR="0022605F" w:rsidRPr="0022605F" w:rsidRDefault="0022605F" w:rsidP="0022605F">
      <w:pPr>
        <w:widowControl w:val="0"/>
        <w:tabs>
          <w:tab w:val="left" w:pos="9000"/>
          <w:tab w:val="left" w:pos="9810"/>
        </w:tabs>
        <w:spacing w:line="280" w:lineRule="exact"/>
        <w:ind w:left="-90" w:right="66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Planirani prihodi od pomoći iz nenadležnog  proračuna iznose 12.392,84 eura</w:t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>,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što je manje u odnosu na prethodnu godinu za 47.506,16 eura. </w:t>
      </w:r>
    </w:p>
    <w:p w14:paraId="0E367F50" w14:textId="5BBEE692" w:rsidR="00120B24" w:rsidRDefault="0022605F" w:rsidP="00120B24">
      <w:pPr>
        <w:widowControl w:val="0"/>
        <w:tabs>
          <w:tab w:val="left" w:pos="9000"/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         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Projekcija prihoda za 2026. iznosi 403.006,70 eura, a za 2027. godinu 378.006,70 eura, odnosno planira se smanjenje proračuna u odnosu na 2025. godinu. </w:t>
      </w:r>
    </w:p>
    <w:p w14:paraId="30A89675" w14:textId="77777777" w:rsidR="00120B24" w:rsidRPr="0022605F" w:rsidRDefault="00120B24" w:rsidP="00120B24">
      <w:pPr>
        <w:widowControl w:val="0"/>
        <w:tabs>
          <w:tab w:val="left" w:pos="9000"/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sz w:val="8"/>
          <w:szCs w:val="8"/>
          <w:lang w:eastAsia="hr-HR" w:bidi="hr-HR"/>
        </w:rPr>
      </w:pPr>
    </w:p>
    <w:p w14:paraId="2521C19C" w14:textId="77777777" w:rsidR="0022605F" w:rsidRPr="0022605F" w:rsidRDefault="0022605F" w:rsidP="00120B24">
      <w:pPr>
        <w:widowControl w:val="0"/>
        <w:tabs>
          <w:tab w:val="left" w:pos="9000"/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sz w:val="22"/>
          <w:szCs w:val="22"/>
          <w:u w:val="single"/>
          <w:lang w:eastAsia="hr-HR" w:bidi="hr-HR"/>
        </w:rPr>
      </w:pPr>
      <w:r w:rsidRPr="0022605F">
        <w:rPr>
          <w:rFonts w:asciiTheme="minorHAnsi" w:eastAsia="Arial" w:hAnsiTheme="minorHAnsi" w:cstheme="minorHAnsi"/>
          <w:sz w:val="22"/>
          <w:szCs w:val="22"/>
          <w:u w:val="single"/>
          <w:lang w:eastAsia="hr-HR" w:bidi="hr-HR"/>
        </w:rPr>
        <w:t>OBRAZLOŽENJE RASHODA</w:t>
      </w:r>
    </w:p>
    <w:p w14:paraId="1B0D3E30" w14:textId="219DFFFE" w:rsidR="0022605F" w:rsidRPr="0022605F" w:rsidRDefault="0022605F" w:rsidP="0022605F">
      <w:pPr>
        <w:widowControl w:val="0"/>
        <w:tabs>
          <w:tab w:val="left" w:pos="9000"/>
          <w:tab w:val="left" w:pos="9810"/>
        </w:tabs>
        <w:spacing w:line="280" w:lineRule="exact"/>
        <w:ind w:left="-86" w:right="72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        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Rashodi za zaposlene u Zavodu planirani su prema broju zaposlenih</w:t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>, a za 2025. godinu nije planirano novo zapošljavanje, dok su m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aterijalni i financijski rashodi planirani prema prijašnjim troškovima neophodnim za rad Zavoda.</w:t>
      </w:r>
    </w:p>
    <w:p w14:paraId="661779F9" w14:textId="597D48A9" w:rsidR="0022605F" w:rsidRPr="0022605F" w:rsidRDefault="0022605F" w:rsidP="0022605F">
      <w:pPr>
        <w:widowControl w:val="0"/>
        <w:tabs>
          <w:tab w:val="left" w:pos="9000"/>
          <w:tab w:val="left" w:pos="9810"/>
        </w:tabs>
        <w:spacing w:line="280" w:lineRule="exact"/>
        <w:ind w:left="-90" w:right="66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        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Financijskim planom za 2025. godinu za redovnu djelatnost Zavoda planirani su ukupni rashodi Zavoda u iznosu od 383.925,57 eura, što je minimalno povećanje u  odnosu na Financijski plan Zavoda za prethodnu 2024. godinu i iznosi svega 0,22 %. </w:t>
      </w:r>
    </w:p>
    <w:p w14:paraId="2DAF2AB0" w14:textId="0801BA4C" w:rsidR="0022605F" w:rsidRPr="0022605F" w:rsidRDefault="0022605F" w:rsidP="0022605F">
      <w:pPr>
        <w:widowControl w:val="0"/>
        <w:tabs>
          <w:tab w:val="left" w:pos="9000"/>
          <w:tab w:val="left" w:pos="9810"/>
        </w:tabs>
        <w:spacing w:line="280" w:lineRule="exact"/>
        <w:ind w:left="-86" w:right="72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         </w:t>
      </w:r>
      <w:r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Projekcija rashoda za redovnu djelatnost Zavoda u 2026. godini iznosi 378.006,70 eura, a za 2027. godinu iznosi 370.606,70 eura, odnosno planira se daljnje smanjenje rashoda u odnosu na 2025. godinu.</w:t>
      </w:r>
    </w:p>
    <w:p w14:paraId="4DF21AED" w14:textId="77777777" w:rsidR="0022605F" w:rsidRPr="0022605F" w:rsidRDefault="0022605F" w:rsidP="0022605F">
      <w:pPr>
        <w:keepNext/>
        <w:keepLines/>
        <w:widowControl w:val="0"/>
        <w:tabs>
          <w:tab w:val="left" w:pos="9000"/>
          <w:tab w:val="left" w:pos="9810"/>
        </w:tabs>
        <w:spacing w:line="276" w:lineRule="auto"/>
        <w:ind w:left="-86" w:right="72"/>
        <w:jc w:val="both"/>
        <w:outlineLvl w:val="4"/>
        <w:rPr>
          <w:rFonts w:asciiTheme="minorHAnsi" w:eastAsia="Arial" w:hAnsiTheme="minorHAnsi" w:cstheme="minorHAnsi"/>
          <w:sz w:val="22"/>
          <w:szCs w:val="22"/>
          <w:u w:val="single"/>
          <w:lang w:eastAsia="hr-HR" w:bidi="hr-HR"/>
        </w:rPr>
      </w:pPr>
      <w:bookmarkStart w:id="11" w:name="bookmark27"/>
      <w:r w:rsidRPr="0022605F">
        <w:rPr>
          <w:rFonts w:asciiTheme="minorHAnsi" w:eastAsia="Arial" w:hAnsiTheme="minorHAnsi" w:cstheme="minorHAnsi"/>
          <w:color w:val="000000"/>
          <w:sz w:val="22"/>
          <w:szCs w:val="22"/>
          <w:u w:val="single"/>
          <w:lang w:eastAsia="hr-HR" w:bidi="hr-HR"/>
        </w:rPr>
        <w:t>OBRAZLOŽENJE PRENESENOG VIŠKA PRIHODA</w:t>
      </w:r>
      <w:bookmarkEnd w:id="11"/>
    </w:p>
    <w:p w14:paraId="5BFFD6E7" w14:textId="32D5809F" w:rsidR="0022605F" w:rsidRPr="0022605F" w:rsidRDefault="003D6482" w:rsidP="0022605F">
      <w:pPr>
        <w:widowControl w:val="0"/>
        <w:tabs>
          <w:tab w:val="left" w:pos="9000"/>
          <w:tab w:val="left" w:pos="9810"/>
        </w:tabs>
        <w:spacing w:line="280" w:lineRule="exact"/>
        <w:ind w:left="-86" w:right="72"/>
        <w:jc w:val="both"/>
        <w:rPr>
          <w:rFonts w:asciiTheme="minorHAnsi" w:eastAsia="Arial" w:hAnsiTheme="minorHAnsi" w:cstheme="minorHAnsi"/>
          <w:color w:val="C00000"/>
          <w:sz w:val="22"/>
          <w:szCs w:val="22"/>
          <w:lang w:eastAsia="hr-HR" w:bidi="hr-HR"/>
        </w:rPr>
      </w:pPr>
      <w:r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         </w:t>
      </w:r>
      <w:r w:rsidR="0022605F" w:rsidRPr="0022605F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>Financijskim planom za 2025. godinu planira se preneseni višak prihoda u iznosu od</w:t>
      </w:r>
      <w:r w:rsidR="0022605F" w:rsidRPr="0022605F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 xml:space="preserve"> </w:t>
      </w:r>
      <w:r w:rsidR="0022605F" w:rsidRPr="0022605F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>71.450,00</w:t>
      </w:r>
      <w:r w:rsidR="0022605F" w:rsidRPr="0022605F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 xml:space="preserve"> </w:t>
      </w:r>
      <w:r w:rsidR="0022605F" w:rsidRPr="0022605F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eura, koji obuhvaća realizirane i planirane a neutrošene vlastite prihode Zavoda </w:t>
      </w:r>
      <w:r w:rsidR="0022605F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(prihodi </w:t>
      </w:r>
      <w:r w:rsidR="0022605F" w:rsidRPr="0022605F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od pružanja usluge izrade </w:t>
      </w:r>
      <w:r w:rsidR="0022605F"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prostornih planova i stručno analitičkih poslova</w:t>
      </w:r>
      <w:r w:rsid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)</w:t>
      </w:r>
      <w:r w:rsidR="0022605F"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</w:t>
      </w:r>
      <w:r w:rsid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prerasporediti </w:t>
      </w:r>
      <w:r w:rsidR="0022605F"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za podmirenje materijalnih troškova</w:t>
      </w:r>
      <w:r w:rsidR="00120B24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, </w:t>
      </w:r>
      <w:r w:rsidR="0022605F"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nabavu dugotrajne imovine (računala, servera)</w:t>
      </w:r>
      <w:r w:rsid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, </w:t>
      </w:r>
      <w:r w:rsidR="00120B24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te </w:t>
      </w:r>
      <w:r w:rsid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</w:t>
      </w:r>
      <w:r w:rsidR="0022605F"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za rashode za zaposlene.</w:t>
      </w:r>
      <w:bookmarkStart w:id="12" w:name="bookmark29"/>
    </w:p>
    <w:p w14:paraId="51D77824" w14:textId="77777777" w:rsidR="0022605F" w:rsidRPr="0022605F" w:rsidRDefault="0022605F" w:rsidP="0022605F">
      <w:pPr>
        <w:widowControl w:val="0"/>
        <w:tabs>
          <w:tab w:val="left" w:pos="9000"/>
          <w:tab w:val="left" w:pos="9810"/>
        </w:tabs>
        <w:spacing w:line="276" w:lineRule="auto"/>
        <w:ind w:left="-86" w:right="72"/>
        <w:jc w:val="both"/>
        <w:rPr>
          <w:rFonts w:asciiTheme="minorHAnsi" w:eastAsia="Arial" w:hAnsiTheme="minorHAnsi" w:cstheme="minorHAnsi"/>
          <w:color w:val="000000"/>
          <w:sz w:val="22"/>
          <w:szCs w:val="22"/>
          <w:u w:val="single"/>
          <w:lang w:eastAsia="hr-HR" w:bidi="hr-HR"/>
        </w:rPr>
      </w:pPr>
      <w:r w:rsidRPr="0022605F">
        <w:rPr>
          <w:rFonts w:asciiTheme="minorHAnsi" w:eastAsia="Arial" w:hAnsiTheme="minorHAnsi" w:cstheme="minorHAnsi"/>
          <w:color w:val="000000"/>
          <w:sz w:val="22"/>
          <w:szCs w:val="22"/>
          <w:u w:val="single"/>
          <w:lang w:eastAsia="hr-HR" w:bidi="hr-HR"/>
        </w:rPr>
        <w:t>OBRAZLOŽENJE POSEBNOG DIJELA FINANCIJSKOG PLANA</w:t>
      </w:r>
      <w:bookmarkEnd w:id="12"/>
    </w:p>
    <w:p w14:paraId="5228EE25" w14:textId="27129564" w:rsidR="0022605F" w:rsidRPr="0022605F" w:rsidRDefault="003D6482" w:rsidP="0022605F">
      <w:pPr>
        <w:widowControl w:val="0"/>
        <w:tabs>
          <w:tab w:val="left" w:pos="9000"/>
          <w:tab w:val="left" w:pos="9810"/>
        </w:tabs>
        <w:spacing w:line="280" w:lineRule="exact"/>
        <w:ind w:left="-86" w:right="72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         </w:t>
      </w:r>
      <w:r w:rsidR="0022605F"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>U nastavku Obrazloženja Financijskog plana daje se sažeti pregled Financijskog plana po programima, odnosno aktivnostima i projektima iz Posebnog dijela Financijskog plana</w:t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>,</w:t>
      </w:r>
      <w:r w:rsidR="0022605F" w:rsidRPr="0022605F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 te  detaljan opis aktivnosti i projekata zajedno s ciljevima i pokazateljima uspješnosti iz akata strateškog planiranja i godišnjeg programa rada.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75"/>
        <w:gridCol w:w="7081"/>
      </w:tblGrid>
      <w:tr w:rsidR="0022605F" w:rsidRPr="0022605F" w14:paraId="7C650D09" w14:textId="77777777" w:rsidTr="007B1477">
        <w:tc>
          <w:tcPr>
            <w:tcW w:w="1975" w:type="dxa"/>
            <w:shd w:val="clear" w:color="auto" w:fill="FFFFFF" w:themeFill="background1"/>
          </w:tcPr>
          <w:p w14:paraId="79E1D0B3" w14:textId="77777777" w:rsidR="0022605F" w:rsidRPr="0022605F" w:rsidRDefault="0022605F" w:rsidP="0022605F">
            <w:pPr>
              <w:spacing w:before="4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lastRenderedPageBreak/>
              <w:t>Glavni program</w:t>
            </w:r>
          </w:p>
        </w:tc>
        <w:tc>
          <w:tcPr>
            <w:tcW w:w="7081" w:type="dxa"/>
            <w:shd w:val="clear" w:color="auto" w:fill="FFFFFF" w:themeFill="background1"/>
          </w:tcPr>
          <w:p w14:paraId="67106E51" w14:textId="77777777" w:rsidR="0022605F" w:rsidRPr="0022605F" w:rsidRDefault="0022605F" w:rsidP="0022605F">
            <w:pPr>
              <w:spacing w:before="4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P01 Javna uprava i administracija</w:t>
            </w:r>
          </w:p>
        </w:tc>
      </w:tr>
      <w:tr w:rsidR="0022605F" w:rsidRPr="0022605F" w14:paraId="41D0A16C" w14:textId="77777777" w:rsidTr="007B1477">
        <w:tc>
          <w:tcPr>
            <w:tcW w:w="1975" w:type="dxa"/>
            <w:shd w:val="clear" w:color="auto" w:fill="FFFFFF" w:themeFill="background1"/>
          </w:tcPr>
          <w:p w14:paraId="4BB21CE3" w14:textId="77777777" w:rsidR="0022605F" w:rsidRPr="0022605F" w:rsidRDefault="0022605F" w:rsidP="0022605F">
            <w:pPr>
              <w:spacing w:before="40" w:after="4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7081" w:type="dxa"/>
            <w:shd w:val="clear" w:color="auto" w:fill="FFFFFF" w:themeFill="background1"/>
          </w:tcPr>
          <w:p w14:paraId="0B0B0BCE" w14:textId="77777777" w:rsidR="0022605F" w:rsidRPr="0022605F" w:rsidRDefault="0022605F" w:rsidP="0022605F">
            <w:pPr>
              <w:spacing w:before="40" w:after="4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1001 Izvršna uprava i administracija Zavoda</w:t>
            </w:r>
          </w:p>
        </w:tc>
      </w:tr>
      <w:tr w:rsidR="0022605F" w:rsidRPr="0022605F" w14:paraId="5ACDEDC2" w14:textId="77777777" w:rsidTr="007B1477">
        <w:trPr>
          <w:trHeight w:val="255"/>
        </w:trPr>
        <w:tc>
          <w:tcPr>
            <w:tcW w:w="1975" w:type="dxa"/>
            <w:noWrap/>
            <w:hideMark/>
          </w:tcPr>
          <w:p w14:paraId="7BCD7FED" w14:textId="77777777" w:rsidR="0022605F" w:rsidRPr="0022605F" w:rsidRDefault="0022605F" w:rsidP="0022605F">
            <w:pPr>
              <w:spacing w:before="40" w:after="40" w:line="28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Aktivnost:</w:t>
            </w:r>
          </w:p>
        </w:tc>
        <w:tc>
          <w:tcPr>
            <w:tcW w:w="7081" w:type="dxa"/>
            <w:noWrap/>
            <w:hideMark/>
          </w:tcPr>
          <w:p w14:paraId="15B1A32F" w14:textId="77777777" w:rsidR="0022605F" w:rsidRPr="0022605F" w:rsidRDefault="0022605F" w:rsidP="0022605F">
            <w:pPr>
              <w:spacing w:before="40" w:after="40" w:line="28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A100001 Redovna djelatnost Zavoda za prostorno uređenje SMŽ</w:t>
            </w:r>
          </w:p>
        </w:tc>
      </w:tr>
      <w:tr w:rsidR="003D6482" w:rsidRPr="0022605F" w14:paraId="7CD71F85" w14:textId="77777777" w:rsidTr="007B1477">
        <w:trPr>
          <w:trHeight w:val="255"/>
        </w:trPr>
        <w:tc>
          <w:tcPr>
            <w:tcW w:w="1975" w:type="dxa"/>
            <w:noWrap/>
          </w:tcPr>
          <w:p w14:paraId="450BF22F" w14:textId="77777777" w:rsidR="003D6482" w:rsidRPr="008719DE" w:rsidRDefault="003D6482" w:rsidP="003D6482">
            <w:pPr>
              <w:spacing w:line="280" w:lineRule="exact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719D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Opis programa</w:t>
            </w:r>
          </w:p>
          <w:p w14:paraId="25366034" w14:textId="77777777" w:rsidR="003D6482" w:rsidRPr="0022605F" w:rsidRDefault="003D6482" w:rsidP="0022605F">
            <w:pPr>
              <w:spacing w:before="40" w:after="40" w:line="28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081" w:type="dxa"/>
            <w:noWrap/>
          </w:tcPr>
          <w:p w14:paraId="1BEF32F6" w14:textId="41DF27DE" w:rsidR="003D6482" w:rsidRPr="0022605F" w:rsidRDefault="003D6482" w:rsidP="003D6482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Djelatnost Zavoda utvrđena je Zakonom o prostornom uređenju („Narodne novine", broj 153/13, 65/17, 114/18, 39/19, 98/19 i 67/23) i obuhvaća:</w:t>
            </w:r>
          </w:p>
          <w:p w14:paraId="4282D2E5" w14:textId="77777777" w:rsidR="003D6482" w:rsidRPr="0022605F" w:rsidRDefault="003D6482" w:rsidP="003D6482">
            <w:pPr>
              <w:numPr>
                <w:ilvl w:val="0"/>
                <w:numId w:val="7"/>
              </w:numPr>
              <w:spacing w:after="40" w:line="280" w:lineRule="exact"/>
              <w:ind w:left="720" w:hanging="274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izradu, odnosno koordinaciju izrade i praćenje provedbe prostornih planova područne (regionalne) razine</w:t>
            </w:r>
          </w:p>
          <w:p w14:paraId="2FE178A1" w14:textId="77777777" w:rsidR="003D6482" w:rsidRPr="0022605F" w:rsidRDefault="003D6482" w:rsidP="003D6482">
            <w:pPr>
              <w:numPr>
                <w:ilvl w:val="0"/>
                <w:numId w:val="7"/>
              </w:numPr>
              <w:spacing w:after="40" w:line="280" w:lineRule="exact"/>
              <w:ind w:left="720" w:hanging="274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izradu izvješća o stanju u prostoru</w:t>
            </w:r>
          </w:p>
          <w:p w14:paraId="77DD7F5E" w14:textId="77777777" w:rsidR="003D6482" w:rsidRPr="0022605F" w:rsidRDefault="003D6482" w:rsidP="003D6482">
            <w:pPr>
              <w:numPr>
                <w:ilvl w:val="0"/>
                <w:numId w:val="7"/>
              </w:numPr>
              <w:spacing w:after="40" w:line="280" w:lineRule="exact"/>
              <w:ind w:left="720" w:hanging="274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vođenje informacijskog sustava prostornog uređenja i upravljanje istim u okviru njegovih ovlasti</w:t>
            </w:r>
          </w:p>
          <w:p w14:paraId="076C32E9" w14:textId="77777777" w:rsidR="003D6482" w:rsidRPr="0022605F" w:rsidRDefault="003D6482" w:rsidP="003D6482">
            <w:pPr>
              <w:numPr>
                <w:ilvl w:val="0"/>
                <w:numId w:val="7"/>
              </w:numPr>
              <w:spacing w:after="40" w:line="280" w:lineRule="exact"/>
              <w:ind w:left="720" w:hanging="274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pripremu polazišta za izradu, odnosno stavljanje izvan snage prostornih planova užih područja</w:t>
            </w:r>
          </w:p>
          <w:p w14:paraId="5CE9CE90" w14:textId="77777777" w:rsidR="003D6482" w:rsidRPr="0022605F" w:rsidRDefault="003D6482" w:rsidP="003D6482">
            <w:pPr>
              <w:numPr>
                <w:ilvl w:val="0"/>
                <w:numId w:val="7"/>
              </w:numPr>
              <w:spacing w:after="40" w:line="280" w:lineRule="exact"/>
              <w:ind w:left="720" w:hanging="274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pružanje stručne savjetodavne pomoći u izradi prostornih planova lokalne razine, izradi prostornih planova uređenja gradova i općina, generalnih urbanističkih planova, urbanističkih planova uređenja od značaja za Državu, odnosno Županiju te pri transformaciji prostornih planova iz analognog u digitalni oblik</w:t>
            </w:r>
          </w:p>
          <w:p w14:paraId="10A653D1" w14:textId="77777777" w:rsidR="003D6482" w:rsidRPr="0022605F" w:rsidRDefault="003D6482" w:rsidP="003D6482">
            <w:pPr>
              <w:numPr>
                <w:ilvl w:val="0"/>
                <w:numId w:val="7"/>
              </w:numPr>
              <w:spacing w:after="100" w:line="280" w:lineRule="exact"/>
              <w:ind w:left="720" w:hanging="27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obavljanje stručno analitičkih poslova iz područja prostornog uređenja, ako to zatraži nadležno Ministarstvo ili Župan i druge poslove u skladu sa Zakonom i Statutom Zavoda.</w:t>
            </w:r>
          </w:p>
          <w:p w14:paraId="57EA22CF" w14:textId="66D8F51C" w:rsidR="003D6482" w:rsidRPr="0022605F" w:rsidRDefault="003D6482" w:rsidP="003D6482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Zavod može izrađivati i prostorni plan područja posebnih obilježja, prostorni plan uređenja grada i općine, generalni urbanistički plan, urbanistički plan uređenja od značaja za Državu, odnosno županij</w:t>
            </w:r>
            <w:r w:rsidR="00120B24">
              <w:rPr>
                <w:rFonts w:asciiTheme="minorHAnsi" w:eastAsia="Arial" w:hAnsiTheme="minorHAnsi" w:cstheme="minorHAnsi"/>
                <w:sz w:val="22"/>
                <w:szCs w:val="22"/>
              </w:rPr>
              <w:t>e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te obavljati stručne analitičke poslove iz područja prostornog uređenja, ako to zatraži Ministarstvo ili Župan.</w:t>
            </w:r>
          </w:p>
          <w:p w14:paraId="1E1A9DD0" w14:textId="77777777" w:rsidR="00522CF4" w:rsidRDefault="003D6482" w:rsidP="003D6482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Sukladno članku 107. Zakona o prostornom uređenju Zavod daje  mišljenje, na konačne prijedloge  prostornih planova uređenja gradova, odnosno općina, generalnih urbanističkih planova i urbanističkih planova uređenja, </w:t>
            </w:r>
            <w:r w:rsidR="00522CF4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a 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u pogledu usklađenosti tih planova s prostornim planom županije, Zakonom o prostornom uređenju i propisima donesenim na temelju tog Zakona, a sukladno članku 113</w:t>
            </w:r>
            <w:r w:rsidR="00522CF4">
              <w:rPr>
                <w:rFonts w:asciiTheme="minorHAnsi" w:eastAsia="Arial" w:hAnsiTheme="minorHAnsi" w:cstheme="minorHAnsi"/>
                <w:sz w:val="22"/>
                <w:szCs w:val="22"/>
              </w:rPr>
              <w:t>.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a</w:t>
            </w:r>
            <w:r w:rsidR="00522CF4">
              <w:rPr>
                <w:rFonts w:asciiTheme="minorHAnsi" w:eastAsia="Arial" w:hAnsiTheme="minorHAnsi" w:cstheme="minorHAnsi"/>
                <w:sz w:val="22"/>
                <w:szCs w:val="22"/>
              </w:rPr>
              <w:t>.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Zakona</w:t>
            </w:r>
            <w:r w:rsidR="00522CF4">
              <w:rPr>
                <w:rFonts w:asciiTheme="minorHAnsi" w:eastAsia="Arial" w:hAnsiTheme="minorHAnsi" w:cstheme="minorHAnsi"/>
                <w:sz w:val="22"/>
                <w:szCs w:val="22"/>
              </w:rPr>
              <w:t>.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 </w:t>
            </w:r>
          </w:p>
          <w:p w14:paraId="32157931" w14:textId="35577DA2" w:rsidR="003D6482" w:rsidRPr="0022605F" w:rsidRDefault="003D6482" w:rsidP="003D6482">
            <w:pPr>
              <w:spacing w:after="100" w:line="28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Zavod će ubuduće davati mišljenja i na transformirane prostorne planove</w:t>
            </w:r>
            <w:r w:rsidR="00522CF4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gradova i općina („planove nove generacije tzv. </w:t>
            </w:r>
            <w:proofErr w:type="spellStart"/>
            <w:r w:rsidR="00522CF4">
              <w:rPr>
                <w:rFonts w:asciiTheme="minorHAnsi" w:eastAsia="Arial" w:hAnsiTheme="minorHAnsi" w:cstheme="minorHAnsi"/>
                <w:sz w:val="22"/>
                <w:szCs w:val="22"/>
              </w:rPr>
              <w:t>ePlanove</w:t>
            </w:r>
            <w:proofErr w:type="spellEnd"/>
            <w:r w:rsidR="00522CF4">
              <w:rPr>
                <w:rFonts w:asciiTheme="minorHAnsi" w:eastAsia="Arial" w:hAnsiTheme="minorHAnsi" w:cstheme="minorHAnsi"/>
                <w:sz w:val="22"/>
                <w:szCs w:val="22"/>
              </w:rPr>
              <w:t>“).</w:t>
            </w:r>
          </w:p>
        </w:tc>
      </w:tr>
      <w:tr w:rsidR="003D6482" w:rsidRPr="0022605F" w14:paraId="7DBCA6EC" w14:textId="77777777" w:rsidTr="007B1477">
        <w:trPr>
          <w:trHeight w:val="255"/>
        </w:trPr>
        <w:tc>
          <w:tcPr>
            <w:tcW w:w="1975" w:type="dxa"/>
            <w:noWrap/>
          </w:tcPr>
          <w:p w14:paraId="2C6E396A" w14:textId="7E8324B2" w:rsidR="003D6482" w:rsidRPr="008719DE" w:rsidRDefault="003D6482" w:rsidP="003D6482">
            <w:pPr>
              <w:spacing w:line="28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19D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Opći cilj</w:t>
            </w:r>
          </w:p>
        </w:tc>
        <w:tc>
          <w:tcPr>
            <w:tcW w:w="7081" w:type="dxa"/>
            <w:noWrap/>
          </w:tcPr>
          <w:p w14:paraId="1B9D546D" w14:textId="787B6D84" w:rsidR="003D6482" w:rsidRPr="003D6482" w:rsidRDefault="003D6482" w:rsidP="003D6482">
            <w:pPr>
              <w:spacing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Unaprjeđenje sustava prostornog uređenja u Sisačko-moslavačke županiji, efikasnost i pravodobnost izrade dokumenata prostornog uređenja i drugih dokumenata iz nadležnosti Zavoda</w:t>
            </w:r>
            <w:r w:rsidR="00522CF4">
              <w:rPr>
                <w:rFonts w:asciiTheme="minorHAnsi" w:eastAsia="Arial" w:hAnsiTheme="minorHAnsi" w:cstheme="minorHAnsi"/>
                <w:sz w:val="22"/>
                <w:szCs w:val="22"/>
              </w:rPr>
              <w:t>,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te osiguravanje prostorno planskih pretpostavki za gospodarski razvitak Županije.</w:t>
            </w:r>
          </w:p>
        </w:tc>
      </w:tr>
      <w:tr w:rsidR="003D6482" w:rsidRPr="0022605F" w14:paraId="078B0C29" w14:textId="77777777" w:rsidTr="007B1477">
        <w:trPr>
          <w:trHeight w:val="255"/>
        </w:trPr>
        <w:tc>
          <w:tcPr>
            <w:tcW w:w="1975" w:type="dxa"/>
            <w:noWrap/>
          </w:tcPr>
          <w:p w14:paraId="3596CACC" w14:textId="4E71381B" w:rsidR="003D6482" w:rsidRPr="008719DE" w:rsidRDefault="003D6482" w:rsidP="003D6482">
            <w:pPr>
              <w:spacing w:line="280" w:lineRule="exact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719D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Posebni ciljevi</w:t>
            </w:r>
          </w:p>
        </w:tc>
        <w:tc>
          <w:tcPr>
            <w:tcW w:w="7081" w:type="dxa"/>
            <w:noWrap/>
          </w:tcPr>
          <w:p w14:paraId="74EEC867" w14:textId="24FC278F" w:rsidR="003D6482" w:rsidRPr="003D6482" w:rsidRDefault="003D6482" w:rsidP="003D6482">
            <w:pPr>
              <w:spacing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Daljnje unaprjeđenje sustava prostornog uređenja u županiji, kroz kvalitetu i pravodobnost izrade prostornih planova čije je donošenje u nadležnosti županije</w:t>
            </w:r>
            <w:r w:rsidR="00522CF4">
              <w:rPr>
                <w:rFonts w:asciiTheme="minorHAnsi" w:eastAsia="Arial" w:hAnsiTheme="minorHAnsi" w:cstheme="minorHAnsi"/>
                <w:sz w:val="22"/>
                <w:szCs w:val="22"/>
              </w:rPr>
              <w:t>,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te gradova i općina; nastavak i daljnje poboljšanje suradnje s jedinicama lokalne samouprave kroz postupak savjetodavno stručne suradnje Zavoda u izradi prostornih planova iz njihove nadležnosti, kroz davanje mišljenja na konačne prijedloge prostornih planova uređenja gradova i općina, generalnih urbanističkih planova i urbanističkih planova uređenja o usklađenosti s Prostornim planom Sisačko-moslavačke županije i zakonskim propisima, kao i kroz sudjelovanje u samoj izradi prostornih planova te izradi 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lastRenderedPageBreak/>
              <w:t xml:space="preserve">izvješća o stanju u prostoru; daljnja uspostava </w:t>
            </w:r>
            <w:proofErr w:type="spellStart"/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geoportala</w:t>
            </w:r>
            <w:proofErr w:type="spellEnd"/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i sustava dokumentacije prostora koja se sastoji od donesenih prostornih planova, planova u izradi, stručnih i geodetskih podloga, studija i projekata s čitavog područja Sisačko-moslavačke županije; podrška  Ministarstvu na uspostavi Informacijskog sustava prostornog uređenja.</w:t>
            </w:r>
          </w:p>
        </w:tc>
      </w:tr>
      <w:tr w:rsidR="003D6482" w:rsidRPr="0022605F" w14:paraId="7C579767" w14:textId="77777777" w:rsidTr="007B1477">
        <w:trPr>
          <w:trHeight w:val="255"/>
        </w:trPr>
        <w:tc>
          <w:tcPr>
            <w:tcW w:w="1975" w:type="dxa"/>
            <w:noWrap/>
          </w:tcPr>
          <w:p w14:paraId="1C2DAFA7" w14:textId="4E1C237C" w:rsidR="003D6482" w:rsidRPr="008719DE" w:rsidRDefault="003D6482" w:rsidP="003D6482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719DE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Pokazatelji uspješnosti</w:t>
            </w:r>
          </w:p>
        </w:tc>
        <w:tc>
          <w:tcPr>
            <w:tcW w:w="7081" w:type="dxa"/>
            <w:noWrap/>
          </w:tcPr>
          <w:p w14:paraId="74938A59" w14:textId="77777777" w:rsidR="003D6482" w:rsidRPr="0022605F" w:rsidRDefault="003D6482" w:rsidP="003D6482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Tijekom 2025. godine, u okviru redovne djelatnosti Zavod će provesti niz aktivnosti: </w:t>
            </w:r>
          </w:p>
          <w:p w14:paraId="5B2F5E75" w14:textId="77777777" w:rsidR="003D6482" w:rsidRPr="0022605F" w:rsidRDefault="003D6482" w:rsidP="003D6482">
            <w:pPr>
              <w:numPr>
                <w:ilvl w:val="0"/>
                <w:numId w:val="8"/>
              </w:numPr>
              <w:spacing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kontinuirano praćenje provedbe Prostornog plana Sisačko - moslavačke županije ostvarit će se aktivnim sudjelovanjem Zavoda u svim fazama izrade prostornih planova uređenja grada/općine, generalnih urbanističkih planova i urbanističkih planova, za koje Zavod nije izrađivač te davanjem primjedbi, prijedloga i zahtjeva kao i redovnim sudjelovanjem u procedurama javnih rasprava </w:t>
            </w:r>
          </w:p>
          <w:p w14:paraId="43479E86" w14:textId="77777777" w:rsidR="003D6482" w:rsidRPr="0022605F" w:rsidRDefault="003D6482" w:rsidP="003D6482">
            <w:pPr>
              <w:numPr>
                <w:ilvl w:val="0"/>
                <w:numId w:val="8"/>
              </w:numPr>
              <w:spacing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sukladno čl. 107. Zakona o prostornom uređenju, prije donošenja prostornog plana uređenja grada, odnosno općine i generalnog urbanističkog plana, Zavod će izdavati mišljenje u pogledu usklađenosti tog plana s Prostornim planom Sisačko-moslavačke županije i zakonima iz područja prostornog uređenja. Broj izdanih mišljenja ovisit će o broju izrađenih planova, kojih Zavod nije izrađivač, odnosno o broju zaprimljenih zahtjeva.</w:t>
            </w:r>
          </w:p>
          <w:p w14:paraId="2D99435D" w14:textId="77777777" w:rsidR="003D6482" w:rsidRPr="0022605F" w:rsidRDefault="003D6482" w:rsidP="003D6482">
            <w:pPr>
              <w:numPr>
                <w:ilvl w:val="0"/>
                <w:numId w:val="8"/>
              </w:numPr>
              <w:spacing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Zavod će u okviru propisanih nadležnosti nastaviti sustavno obrađivati i unositi podatke (prostorne planove, studije, izvješća o stanju u prostoru i druge dokumente značajne za prostorno uređenje) u informacijski sustav prostornog uređenja, kroz aplikaciju e-Katalog.</w:t>
            </w:r>
          </w:p>
          <w:p w14:paraId="6BBA019A" w14:textId="77777777" w:rsidR="003D6482" w:rsidRPr="0022605F" w:rsidRDefault="003D6482" w:rsidP="003D6482">
            <w:pPr>
              <w:numPr>
                <w:ilvl w:val="0"/>
                <w:numId w:val="8"/>
              </w:numPr>
              <w:spacing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Zavod će i tijekom 2025. godine nastaviti pružati stručnu pomoć jedinicama lokalne samouprave u svim fazama izrade prostornih planova lokalne razine: kod pripreme polazišta i ciljeva pri izradi odluka o izradi prostornog plana; davanjem zahtjeva za izradu plana sukladno članku 90. Zakona o prostornom uređenju; pružanjem pomoći pri provedbi postupka ocjene o potrebi strateške procjene; sudjelovanjem na javnim raspravama; davanjem stručnih prijedloga, savjeta i mišljenja</w:t>
            </w:r>
          </w:p>
          <w:p w14:paraId="59DC6156" w14:textId="77777777" w:rsidR="003D6482" w:rsidRPr="0022605F" w:rsidRDefault="003D6482" w:rsidP="003D6482">
            <w:pPr>
              <w:numPr>
                <w:ilvl w:val="0"/>
                <w:numId w:val="9"/>
              </w:numPr>
              <w:spacing w:line="280" w:lineRule="exact"/>
              <w:contextualSpacing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sukladno sporazumu s Ministarstvom prostornog uređenja, graditeljstva i državne imovine Zavod će izraditi Elaborat stručno analitičkih</w:t>
            </w:r>
            <w:r w:rsidRPr="0022605F">
              <w:rPr>
                <w:rFonts w:asciiTheme="minorHAnsi" w:eastAsia="Courier New" w:hAnsiTheme="minorHAnsi" w:cstheme="minorHAnsi"/>
                <w:sz w:val="22"/>
                <w:szCs w:val="22"/>
              </w:rPr>
              <w:t xml:space="preserve"> 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poslova u sklopu pripremnih radova za izradu Izmjena i dopuna Prostornog plana Parka prirode Lonjsko polje</w:t>
            </w:r>
          </w:p>
          <w:p w14:paraId="1FB84C66" w14:textId="5AF38D54" w:rsidR="003D6482" w:rsidRPr="003D6482" w:rsidRDefault="003D6482" w:rsidP="003D6482">
            <w:pPr>
              <w:numPr>
                <w:ilvl w:val="0"/>
                <w:numId w:val="9"/>
              </w:numPr>
              <w:spacing w:line="280" w:lineRule="exact"/>
              <w:contextualSpacing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Zavod će u 2025. godini započeti izradu izmjena i dopuna Prostornog plana Sisačko-moslavačke županije s transformacijom u sustav planova nove generacije. </w:t>
            </w:r>
          </w:p>
        </w:tc>
      </w:tr>
    </w:tbl>
    <w:p w14:paraId="4C8955F4" w14:textId="567C50A2" w:rsidR="0022605F" w:rsidRPr="0022605F" w:rsidRDefault="0022605F" w:rsidP="003D6482">
      <w:pPr>
        <w:widowControl w:val="0"/>
        <w:spacing w:line="280" w:lineRule="exact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</w:p>
    <w:tbl>
      <w:tblPr>
        <w:tblStyle w:val="Reetkatablice"/>
        <w:tblW w:w="9265" w:type="dxa"/>
        <w:tblLook w:val="04A0" w:firstRow="1" w:lastRow="0" w:firstColumn="1" w:lastColumn="0" w:noHBand="0" w:noVBand="1"/>
      </w:tblPr>
      <w:tblGrid>
        <w:gridCol w:w="1980"/>
        <w:gridCol w:w="7285"/>
      </w:tblGrid>
      <w:tr w:rsidR="0022605F" w:rsidRPr="0022605F" w14:paraId="373E7B24" w14:textId="77777777" w:rsidTr="00522CF4">
        <w:trPr>
          <w:trHeight w:val="255"/>
        </w:trPr>
        <w:tc>
          <w:tcPr>
            <w:tcW w:w="1980" w:type="dxa"/>
            <w:noWrap/>
            <w:vAlign w:val="center"/>
            <w:hideMark/>
          </w:tcPr>
          <w:p w14:paraId="4BB33EF7" w14:textId="77777777" w:rsidR="0022605F" w:rsidRPr="0022605F" w:rsidRDefault="0022605F" w:rsidP="0022605F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Aktivnost:</w:t>
            </w:r>
          </w:p>
        </w:tc>
        <w:tc>
          <w:tcPr>
            <w:tcW w:w="7285" w:type="dxa"/>
            <w:noWrap/>
            <w:vAlign w:val="center"/>
            <w:hideMark/>
          </w:tcPr>
          <w:p w14:paraId="6C2A8BB4" w14:textId="588CC573" w:rsidR="0022605F" w:rsidRPr="0022605F" w:rsidRDefault="0022605F" w:rsidP="00522CF4">
            <w:pPr>
              <w:spacing w:before="40" w:line="280" w:lineRule="exact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A 10000</w:t>
            </w:r>
            <w:r w:rsidR="00522CF4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Izmjene i dopune Prostornog plana Sisačko-moslavačke županije s transformacijom</w:t>
            </w:r>
          </w:p>
        </w:tc>
      </w:tr>
      <w:tr w:rsidR="003D6482" w:rsidRPr="0022605F" w14:paraId="52852202" w14:textId="77777777" w:rsidTr="00522CF4">
        <w:trPr>
          <w:trHeight w:val="255"/>
        </w:trPr>
        <w:tc>
          <w:tcPr>
            <w:tcW w:w="1980" w:type="dxa"/>
            <w:noWrap/>
            <w:vAlign w:val="center"/>
          </w:tcPr>
          <w:p w14:paraId="6347B6AA" w14:textId="77777777" w:rsidR="003D6482" w:rsidRPr="008719DE" w:rsidRDefault="003D6482" w:rsidP="003D6482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719D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Opis programa</w:t>
            </w:r>
          </w:p>
          <w:p w14:paraId="3ABAEF18" w14:textId="77777777" w:rsidR="003D6482" w:rsidRPr="0022605F" w:rsidRDefault="003D6482" w:rsidP="0022605F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85" w:type="dxa"/>
            <w:noWrap/>
            <w:vAlign w:val="center"/>
          </w:tcPr>
          <w:p w14:paraId="5ED6A2A6" w14:textId="6DB7F73F" w:rsidR="00522CF4" w:rsidRDefault="00522CF4" w:rsidP="003D6482">
            <w:pPr>
              <w:autoSpaceDE w:val="0"/>
              <w:autoSpaceDN w:val="0"/>
              <w:adjustRightInd w:val="0"/>
              <w:spacing w:after="100" w:line="280" w:lineRule="exact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</w:rPr>
              <w:t>Zavod od 2022. godine radi na V. izmjenama i dopunama Prostornog plana županije, te je izrada u tijeku, a donošenje se očekuje do sredine 2025. godine.</w:t>
            </w:r>
          </w:p>
          <w:p w14:paraId="5249FA99" w14:textId="2B7FBF32" w:rsidR="003D6482" w:rsidRPr="0022605F" w:rsidRDefault="003D6482" w:rsidP="003D6482">
            <w:pPr>
              <w:autoSpaceDE w:val="0"/>
              <w:autoSpaceDN w:val="0"/>
              <w:adjustRightInd w:val="0"/>
              <w:spacing w:after="100" w:line="280" w:lineRule="exact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Na osnovu iskazanog interesa Županije za izradu izmjena i dopuna i transformaciju Prostornog plana Sisačke-moslavačke županije (KLASA: 350-02/24-03/5, URBROJ: 2176-02-24-2, od 20. ožujka 2024. godine), Ministarstvo prostornog uređenja, graditeljstva i državne imovine sufinancira izradu Plana u </w:t>
            </w:r>
            <w:r w:rsidRPr="0022605F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 xml:space="preserve">cilju što brže i uspješnije uspostave prostornih planova nove generacije.  </w:t>
            </w:r>
          </w:p>
          <w:p w14:paraId="7B1FAD59" w14:textId="77777777" w:rsidR="003D6482" w:rsidRPr="0022605F" w:rsidRDefault="003D6482" w:rsidP="003D6482">
            <w:pPr>
              <w:autoSpaceDE w:val="0"/>
              <w:autoSpaceDN w:val="0"/>
              <w:adjustRightInd w:val="0"/>
              <w:spacing w:after="100" w:line="280" w:lineRule="exact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Po donošenju Odluke o izradi Plana na Županijskoj skupštini, Zavod će započeti postupak transformacije uz potrebne izmjene i dopune Plana. </w:t>
            </w:r>
          </w:p>
          <w:p w14:paraId="094A3382" w14:textId="77777777" w:rsidR="003D6482" w:rsidRPr="0022605F" w:rsidRDefault="003D6482" w:rsidP="003D6482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  <w:t>Sukladno Zakonu o prostornom uređenju (Narodne novine, br. 153/13, 65/17, 114/18, 39/19, 98/19, 67/23)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i 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  <w:t xml:space="preserve">Uredbi o informacijskom sustavu prostornog uređenja (Narodne novine, br.  115/2015)   Zavod će PPSMŽ transformirati  u topološki  uređen vektorski zapis  u </w:t>
            </w:r>
            <w:proofErr w:type="spellStart"/>
            <w:r w:rsidRPr="0022605F"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  <w:t>gml</w:t>
            </w:r>
            <w:proofErr w:type="spellEnd"/>
            <w:r w:rsidRPr="0022605F"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  <w:t xml:space="preserve"> ili </w:t>
            </w:r>
            <w:proofErr w:type="spellStart"/>
            <w:r w:rsidRPr="0022605F"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  <w:t>shp</w:t>
            </w:r>
            <w:proofErr w:type="spellEnd"/>
            <w:r w:rsidRPr="0022605F"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  <w:t xml:space="preserve">  formatu, </w:t>
            </w:r>
            <w:proofErr w:type="spellStart"/>
            <w:r w:rsidRPr="0022605F"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  <w:t>georeferenciran</w:t>
            </w:r>
            <w:proofErr w:type="spellEnd"/>
            <w:r w:rsidRPr="0022605F"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  <w:t xml:space="preserve"> u službenoj kartografskoj projekciji, strukturiran u slojeve s pridruženim atributnim tablicama izrađenima po modelu podataka određenom posebnim propisom o sadržaju prostornih planova.</w:t>
            </w:r>
          </w:p>
          <w:p w14:paraId="30734E07" w14:textId="427ACC2C" w:rsidR="003D6482" w:rsidRPr="003D6482" w:rsidRDefault="003D6482" w:rsidP="003D6482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  <w:shd w:val="clear" w:color="auto" w:fill="FFFFFF"/>
              </w:rPr>
              <w:t>Nakon transformacije Plan će putem modula „e Planovi“  biti unesen u informacijski sustav prostornog uređenja, te će biti dostupniji građanima, poslovnim subjektima i investitorima.</w:t>
            </w:r>
          </w:p>
        </w:tc>
      </w:tr>
    </w:tbl>
    <w:p w14:paraId="44F3E570" w14:textId="77777777" w:rsidR="0022605F" w:rsidRPr="0022605F" w:rsidRDefault="0022605F" w:rsidP="0022605F">
      <w:pPr>
        <w:widowControl w:val="0"/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22605F" w:rsidRPr="0022605F" w14:paraId="684C5C09" w14:textId="77777777" w:rsidTr="003D6482">
        <w:trPr>
          <w:trHeight w:val="255"/>
        </w:trPr>
        <w:tc>
          <w:tcPr>
            <w:tcW w:w="1920" w:type="dxa"/>
            <w:noWrap/>
            <w:hideMark/>
          </w:tcPr>
          <w:p w14:paraId="5BB5C7C3" w14:textId="77777777" w:rsidR="0022605F" w:rsidRPr="0022605F" w:rsidRDefault="0022605F" w:rsidP="0022605F">
            <w:pPr>
              <w:spacing w:before="40" w:after="40" w:line="360" w:lineRule="auto"/>
              <w:ind w:firstLine="144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Aktivnost: </w:t>
            </w:r>
          </w:p>
        </w:tc>
        <w:tc>
          <w:tcPr>
            <w:tcW w:w="7289" w:type="dxa"/>
            <w:noWrap/>
            <w:hideMark/>
          </w:tcPr>
          <w:p w14:paraId="67BD6804" w14:textId="77777777" w:rsidR="0022605F" w:rsidRPr="0022605F" w:rsidRDefault="0022605F" w:rsidP="0022605F">
            <w:pPr>
              <w:spacing w:before="40" w:after="40" w:line="360" w:lineRule="auto"/>
              <w:ind w:firstLine="144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A100003      Izrada i razvoj </w:t>
            </w:r>
            <w:proofErr w:type="spellStart"/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geoportala</w:t>
            </w:r>
            <w:proofErr w:type="spellEnd"/>
          </w:p>
        </w:tc>
      </w:tr>
      <w:tr w:rsidR="003D6482" w:rsidRPr="0022605F" w14:paraId="03CB3BF1" w14:textId="77777777" w:rsidTr="003D6482">
        <w:trPr>
          <w:trHeight w:val="255"/>
        </w:trPr>
        <w:tc>
          <w:tcPr>
            <w:tcW w:w="1920" w:type="dxa"/>
            <w:noWrap/>
          </w:tcPr>
          <w:p w14:paraId="580C49C2" w14:textId="77777777" w:rsidR="003D6482" w:rsidRPr="008719DE" w:rsidRDefault="003D6482" w:rsidP="003D6482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719D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Opis programa</w:t>
            </w:r>
          </w:p>
          <w:p w14:paraId="3BA9E450" w14:textId="77777777" w:rsidR="003D6482" w:rsidRPr="008719DE" w:rsidRDefault="003D6482" w:rsidP="003D6482">
            <w:pPr>
              <w:spacing w:before="40" w:after="40"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89" w:type="dxa"/>
            <w:noWrap/>
          </w:tcPr>
          <w:p w14:paraId="7FA8A4E7" w14:textId="1C8EC017" w:rsidR="003D6482" w:rsidRPr="0022605F" w:rsidRDefault="003D6482" w:rsidP="003D6482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U svrhu razvoja i modernizacije struke u području prostornog uređenja, uspostavljen je </w:t>
            </w:r>
            <w:proofErr w:type="spellStart"/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Geoportal</w:t>
            </w:r>
            <w:proofErr w:type="spellEnd"/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Sisačko-moslavačke županije koji predstavlja aplikaciju kao jedinstveno, odnosno središnje mjesto pristupa prostornim podacima za cijelo područje županije. Planirana sredstva namijenjena su za nastavak pružanja usluga na uspostavi, vođenju, i održavanju Geografskog informacijskog sustava (GIS-a) prostornog uređenja za područje Sisačko-moslavačke županije.</w:t>
            </w:r>
          </w:p>
        </w:tc>
      </w:tr>
      <w:tr w:rsidR="003D6482" w:rsidRPr="0022605F" w14:paraId="264DAA09" w14:textId="77777777" w:rsidTr="003D6482">
        <w:trPr>
          <w:trHeight w:val="255"/>
        </w:trPr>
        <w:tc>
          <w:tcPr>
            <w:tcW w:w="1920" w:type="dxa"/>
            <w:noWrap/>
          </w:tcPr>
          <w:p w14:paraId="10E73DAA" w14:textId="3D1FCEFC" w:rsidR="003D6482" w:rsidRPr="008719DE" w:rsidRDefault="003D6482" w:rsidP="003D6482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719D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Cilj programa</w:t>
            </w:r>
          </w:p>
        </w:tc>
        <w:tc>
          <w:tcPr>
            <w:tcW w:w="7289" w:type="dxa"/>
            <w:noWrap/>
          </w:tcPr>
          <w:p w14:paraId="12356AC4" w14:textId="63570604" w:rsidR="003D6482" w:rsidRPr="0022605F" w:rsidRDefault="003D6482" w:rsidP="003D6482">
            <w:pPr>
              <w:spacing w:afterLines="100" w:after="240"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Cilj uspostave </w:t>
            </w:r>
            <w:proofErr w:type="spellStart"/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Geoportala</w:t>
            </w:r>
            <w:proofErr w:type="spellEnd"/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je omogućiti bolju dostupnost  potrebnih informacija o stanju u prostoru i planiranim zahvatima u svrhu lakšeg dobivanja akata o gradnja kao i ostalih potvrda te omogućiti efikasniji rad tijela lokalne i područne (regionalne) samouprave pri izdavanju dozvola.</w:t>
            </w:r>
          </w:p>
        </w:tc>
      </w:tr>
      <w:tr w:rsidR="003D6482" w:rsidRPr="0022605F" w14:paraId="12E783F1" w14:textId="77777777" w:rsidTr="003D6482">
        <w:trPr>
          <w:trHeight w:val="255"/>
        </w:trPr>
        <w:tc>
          <w:tcPr>
            <w:tcW w:w="1920" w:type="dxa"/>
            <w:noWrap/>
          </w:tcPr>
          <w:p w14:paraId="77D93320" w14:textId="71031790" w:rsidR="003D6482" w:rsidRPr="008719DE" w:rsidRDefault="003D6482" w:rsidP="003D6482">
            <w:pPr>
              <w:spacing w:after="24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719D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Pokazatelji uspješnosti</w:t>
            </w:r>
          </w:p>
        </w:tc>
        <w:tc>
          <w:tcPr>
            <w:tcW w:w="7289" w:type="dxa"/>
            <w:noWrap/>
          </w:tcPr>
          <w:p w14:paraId="628B3E72" w14:textId="0EDD857F" w:rsidR="003D6482" w:rsidRPr="0022605F" w:rsidRDefault="003D6482" w:rsidP="003D6482">
            <w:pPr>
              <w:spacing w:after="200" w:line="280" w:lineRule="exact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2605F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Tijekom 2025. godine nastaviti će se nadograđivati i nadopunjavati  </w:t>
            </w:r>
            <w:proofErr w:type="spellStart"/>
            <w:r w:rsidRPr="0022605F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Geoportal</w:t>
            </w:r>
            <w:proofErr w:type="spellEnd"/>
            <w:r w:rsidRPr="0022605F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 s novim podacima iz novo usvojenih prostorno planskih dokumenata. Veća posjećenost i korištenje </w:t>
            </w:r>
            <w:proofErr w:type="spellStart"/>
            <w:r w:rsidRPr="0022605F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Geoportala</w:t>
            </w:r>
            <w:proofErr w:type="spellEnd"/>
            <w:r w:rsidRPr="0022605F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od strane korisnika pokazatelj su uspješnosti projekta.</w:t>
            </w:r>
          </w:p>
        </w:tc>
      </w:tr>
    </w:tbl>
    <w:p w14:paraId="2A97C3D1" w14:textId="77777777" w:rsidR="0022605F" w:rsidRPr="0022605F" w:rsidRDefault="0022605F" w:rsidP="0022605F">
      <w:pPr>
        <w:widowControl w:val="0"/>
        <w:spacing w:after="10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eastAsia="hr-HR" w:bidi="hr-HR"/>
        </w:rPr>
      </w:pPr>
      <w:r w:rsidRPr="0022605F">
        <w:rPr>
          <w:rFonts w:asciiTheme="minorHAnsi" w:eastAsia="Arial" w:hAnsiTheme="minorHAnsi" w:cstheme="minorHAnsi"/>
          <w:b/>
          <w:bCs/>
          <w:sz w:val="22"/>
          <w:szCs w:val="22"/>
          <w:lang w:eastAsia="hr-HR" w:bidi="hr-HR"/>
        </w:rPr>
        <w:t xml:space="preserve">TEKUĆI PROJEKT </w:t>
      </w: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22605F" w:rsidRPr="0022605F" w14:paraId="5FB4C2EA" w14:textId="77777777" w:rsidTr="003D6482">
        <w:trPr>
          <w:trHeight w:val="391"/>
        </w:trPr>
        <w:tc>
          <w:tcPr>
            <w:tcW w:w="1920" w:type="dxa"/>
            <w:noWrap/>
            <w:hideMark/>
          </w:tcPr>
          <w:p w14:paraId="1B3FF654" w14:textId="77777777" w:rsidR="0022605F" w:rsidRPr="0022605F" w:rsidRDefault="0022605F" w:rsidP="0022605F">
            <w:pPr>
              <w:spacing w:before="60" w:after="60"/>
              <w:ind w:firstLine="403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Aktivnost:</w:t>
            </w:r>
          </w:p>
        </w:tc>
        <w:tc>
          <w:tcPr>
            <w:tcW w:w="7289" w:type="dxa"/>
            <w:noWrap/>
            <w:hideMark/>
          </w:tcPr>
          <w:p w14:paraId="7FD9C057" w14:textId="77777777" w:rsidR="0022605F" w:rsidRPr="0022605F" w:rsidRDefault="0022605F" w:rsidP="0022605F">
            <w:pPr>
              <w:spacing w:before="60" w:after="6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A100004       Studija za razvoj zelene i plave infrastrukture SMŽ</w:t>
            </w: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ab/>
            </w:r>
            <w:r w:rsidRPr="0022605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ab/>
            </w:r>
          </w:p>
        </w:tc>
      </w:tr>
      <w:tr w:rsidR="003D6482" w:rsidRPr="0022605F" w14:paraId="7401C5FC" w14:textId="77777777" w:rsidTr="003D6482">
        <w:trPr>
          <w:trHeight w:val="391"/>
        </w:trPr>
        <w:tc>
          <w:tcPr>
            <w:tcW w:w="1920" w:type="dxa"/>
            <w:noWrap/>
          </w:tcPr>
          <w:p w14:paraId="60142CF4" w14:textId="77777777" w:rsidR="003D6482" w:rsidRPr="008719DE" w:rsidRDefault="003D6482" w:rsidP="003D6482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719D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Opis programa</w:t>
            </w:r>
          </w:p>
          <w:p w14:paraId="134EBD68" w14:textId="77777777" w:rsidR="003D6482" w:rsidRPr="0022605F" w:rsidRDefault="003D6482" w:rsidP="0022605F">
            <w:pPr>
              <w:spacing w:before="60" w:after="60"/>
              <w:ind w:firstLine="403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89" w:type="dxa"/>
            <w:noWrap/>
          </w:tcPr>
          <w:p w14:paraId="6D3BB29E" w14:textId="77777777" w:rsidR="003D6482" w:rsidRPr="0022605F" w:rsidRDefault="003D6482" w:rsidP="003D6482">
            <w:pPr>
              <w:spacing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Na osnovi iskazanog interesa Zavoda,  Ministarstvo prostornoga uređenja, graditeljstva i državne imovine je sa Zavodom sklopilo Sporazum o obavljanju stručno analitičkih  poslova u sklopu provedbe Strategije prostornog razvoja Republike Hrvatske kroz izradu stručno analitičke podloge za izradu prostornih planova nove generacije pod nazivom „Studija identifikacije potencijala za razvoj zelene i plave infrastrukture Sisačko-moslavačke županije.“</w:t>
            </w:r>
          </w:p>
          <w:p w14:paraId="26404C37" w14:textId="77777777" w:rsidR="003D6482" w:rsidRPr="0022605F" w:rsidRDefault="003D6482" w:rsidP="003D6482">
            <w:pPr>
              <w:spacing w:line="280" w:lineRule="exact"/>
              <w:ind w:left="400" w:hanging="40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U okviru ovog Sporazuma Zavod obavlja sljedeće stručno analitičke poslove:</w:t>
            </w:r>
          </w:p>
          <w:p w14:paraId="0BB8945A" w14:textId="77777777" w:rsidR="003D6482" w:rsidRPr="0022605F" w:rsidRDefault="003D6482" w:rsidP="003D6482">
            <w:pPr>
              <w:spacing w:line="280" w:lineRule="exact"/>
              <w:ind w:left="360" w:hanging="36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1.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ab/>
              <w:t xml:space="preserve">Izrada projektnog zadatka za stručno analitičku podlogu </w:t>
            </w:r>
          </w:p>
          <w:p w14:paraId="43200747" w14:textId="77777777" w:rsidR="003D6482" w:rsidRPr="0022605F" w:rsidRDefault="003D6482" w:rsidP="003D6482">
            <w:pPr>
              <w:spacing w:line="280" w:lineRule="exact"/>
              <w:ind w:left="360" w:hanging="36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2.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ab/>
              <w:t>Odabir izrađivača stručno analitičke podloge „Studija identifikacije potencijala za razvoj zelene i plave infrastrukture Sisačko-moslavačke županije« sukladno projektnom zadatku:</w:t>
            </w:r>
          </w:p>
          <w:p w14:paraId="3EC40CAE" w14:textId="77777777" w:rsidR="003D6482" w:rsidRPr="0022605F" w:rsidRDefault="003D6482" w:rsidP="003D6482">
            <w:pPr>
              <w:spacing w:line="280" w:lineRule="exact"/>
              <w:ind w:left="810" w:hanging="40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lastRenderedPageBreak/>
              <w:t>I.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ab/>
              <w:t>Analiza i valorizacija izrađenih dokumenata relevantnih za razvoj zelene i plave infrastrukture</w:t>
            </w:r>
          </w:p>
          <w:p w14:paraId="0227398B" w14:textId="77777777" w:rsidR="003D6482" w:rsidRPr="0022605F" w:rsidRDefault="003D6482" w:rsidP="003D6482">
            <w:pPr>
              <w:spacing w:line="280" w:lineRule="exact"/>
              <w:ind w:left="810" w:hanging="40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II.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ab/>
              <w:t>Analiza mogućnosti povezivanja zelene i plave infrastrukture u veće sustave</w:t>
            </w:r>
          </w:p>
          <w:p w14:paraId="35D7442A" w14:textId="77777777" w:rsidR="003D6482" w:rsidRPr="0022605F" w:rsidRDefault="003D6482" w:rsidP="003D6482">
            <w:pPr>
              <w:spacing w:line="280" w:lineRule="exact"/>
              <w:ind w:left="810" w:hanging="40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III.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ab/>
              <w:t>Identifikacije potencijala za razvoj zelene i plave infrastrukture Sisačko-moslavačke županije</w:t>
            </w:r>
          </w:p>
          <w:p w14:paraId="1E5EE1B8" w14:textId="77777777" w:rsidR="003D6482" w:rsidRPr="0022605F" w:rsidRDefault="003D6482" w:rsidP="003D6482">
            <w:pPr>
              <w:tabs>
                <w:tab w:val="left" w:pos="810"/>
              </w:tabs>
              <w:spacing w:line="280" w:lineRule="exact"/>
              <w:ind w:left="720" w:hanging="27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IV. Grafički prikaz potencijala za razvoj zelene i plave infrastrukture Sisačko-moslavačke županije</w:t>
            </w:r>
          </w:p>
          <w:p w14:paraId="0B8188CC" w14:textId="230A4DFA" w:rsidR="003D6482" w:rsidRPr="003D6482" w:rsidRDefault="003D6482" w:rsidP="003D6482">
            <w:pPr>
              <w:tabs>
                <w:tab w:val="left" w:pos="360"/>
              </w:tabs>
              <w:spacing w:line="280" w:lineRule="exac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3.</w:t>
            </w:r>
            <w:r w:rsidRPr="003D6482">
              <w:rPr>
                <w:rFonts w:asciiTheme="minorHAnsi" w:eastAsia="Arial" w:hAnsiTheme="minorHAnsi" w:cstheme="minorHAnsi"/>
                <w:sz w:val="22"/>
                <w:szCs w:val="22"/>
              </w:rPr>
              <w:t>Koordinacija izrade stručno analitičke podloge „Studija identifikacije potencijala za razvoj zelene i plave infrastrukture Sisačko-moslavačke županije«.</w:t>
            </w:r>
          </w:p>
          <w:p w14:paraId="384F803A" w14:textId="77777777" w:rsidR="003D6482" w:rsidRPr="0022605F" w:rsidRDefault="003D6482" w:rsidP="003D6482">
            <w:pPr>
              <w:tabs>
                <w:tab w:val="left" w:pos="360"/>
              </w:tabs>
              <w:spacing w:line="280" w:lineRule="exact"/>
              <w:ind w:left="360" w:hanging="36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4.</w:t>
            </w: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ab/>
              <w:t>Provedbu participacije: organizacija savjetovanja s javnošću / uključivanje javnosti kroz provedbu online upitnika, fokus grupa, radionice i dr.</w:t>
            </w:r>
          </w:p>
          <w:p w14:paraId="12033D45" w14:textId="77777777" w:rsidR="003D6482" w:rsidRPr="0022605F" w:rsidRDefault="003D6482" w:rsidP="003D6482">
            <w:pPr>
              <w:tabs>
                <w:tab w:val="left" w:pos="360"/>
              </w:tabs>
              <w:spacing w:after="100" w:line="280" w:lineRule="exact"/>
              <w:ind w:left="360" w:hanging="36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5.  O stručno analitičkim poslovima iz stavka 1. ovog članka Zavod će dostaviti Elaborat stručno analitičke podloge iz naslova ovoga Sporazuma kao završni dokument.</w:t>
            </w:r>
          </w:p>
          <w:p w14:paraId="4EC4EE96" w14:textId="5D5E2398" w:rsidR="003D6482" w:rsidRPr="0022605F" w:rsidRDefault="003D6482" w:rsidP="003D6482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22605F">
              <w:rPr>
                <w:rFonts w:asciiTheme="minorHAnsi" w:eastAsia="Arial" w:hAnsiTheme="minorHAnsi" w:cstheme="minorHAnsi"/>
                <w:sz w:val="22"/>
                <w:szCs w:val="22"/>
              </w:rPr>
              <w:t>Planirani dovršetak studije je drugi kvartal 2025. godine.</w:t>
            </w:r>
          </w:p>
        </w:tc>
      </w:tr>
    </w:tbl>
    <w:p w14:paraId="34A667D8" w14:textId="77777777" w:rsidR="0022605F" w:rsidRPr="0022605F" w:rsidRDefault="0022605F" w:rsidP="0022605F">
      <w:pPr>
        <w:widowControl w:val="0"/>
        <w:spacing w:line="360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  <w:lang w:eastAsia="hr-HR" w:bidi="hr-HR"/>
        </w:rPr>
      </w:pPr>
    </w:p>
    <w:p w14:paraId="207CE9C9" w14:textId="4C2DA7A0" w:rsidR="0022605F" w:rsidRDefault="008256AD" w:rsidP="0022605F">
      <w:pPr>
        <w:widowControl w:val="0"/>
        <w:spacing w:afterLines="100" w:after="240" w:line="280" w:lineRule="exact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  <w:t>Pročelnica</w:t>
      </w:r>
    </w:p>
    <w:p w14:paraId="0B106687" w14:textId="423DF536" w:rsidR="008256AD" w:rsidRPr="0022605F" w:rsidRDefault="008256AD" w:rsidP="0022605F">
      <w:pPr>
        <w:widowControl w:val="0"/>
        <w:spacing w:afterLines="100" w:after="240" w:line="280" w:lineRule="exact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</w:r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ab/>
        <w:t xml:space="preserve">Blanka Bobetko Majstorović, dipl. ing. </w:t>
      </w:r>
      <w:proofErr w:type="spellStart"/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>biol</w:t>
      </w:r>
      <w:proofErr w:type="spellEnd"/>
      <w:r>
        <w:rPr>
          <w:rFonts w:asciiTheme="minorHAnsi" w:eastAsia="Arial" w:hAnsiTheme="minorHAnsi" w:cstheme="minorHAnsi"/>
          <w:sz w:val="22"/>
          <w:szCs w:val="22"/>
          <w:lang w:eastAsia="hr-HR" w:bidi="hr-HR"/>
        </w:rPr>
        <w:t>.</w:t>
      </w:r>
    </w:p>
    <w:p w14:paraId="1E1499AD" w14:textId="77777777" w:rsidR="0022605F" w:rsidRPr="0022605F" w:rsidRDefault="0022605F" w:rsidP="00D75F76">
      <w:pPr>
        <w:tabs>
          <w:tab w:val="left" w:pos="8730"/>
          <w:tab w:val="left" w:pos="9810"/>
        </w:tabs>
        <w:spacing w:after="160"/>
        <w:ind w:left="-90" w:right="66"/>
        <w:jc w:val="both"/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</w:pPr>
    </w:p>
    <w:sectPr w:rsidR="0022605F" w:rsidRPr="0022605F" w:rsidSect="00D75F76">
      <w:footnotePr>
        <w:numFmt w:val="chicago"/>
      </w:footnotePr>
      <w:pgSz w:w="11900" w:h="16840"/>
      <w:pgMar w:top="1417" w:right="1417" w:bottom="1417" w:left="1417" w:header="538" w:footer="86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A40B9"/>
    <w:multiLevelType w:val="hybridMultilevel"/>
    <w:tmpl w:val="46E4F562"/>
    <w:lvl w:ilvl="0" w:tplc="E760F5D4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sz w:val="22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3F5D95"/>
    <w:multiLevelType w:val="hybridMultilevel"/>
    <w:tmpl w:val="CB5E89BA"/>
    <w:lvl w:ilvl="0" w:tplc="F2C06B12">
      <w:start w:val="1"/>
      <w:numFmt w:val="bullet"/>
      <w:lvlText w:val="-"/>
      <w:lvlJc w:val="left"/>
      <w:pPr>
        <w:ind w:left="152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" w15:restartNumberingAfterBreak="0">
    <w:nsid w:val="3ABA3713"/>
    <w:multiLevelType w:val="hybridMultilevel"/>
    <w:tmpl w:val="2EF49390"/>
    <w:lvl w:ilvl="0" w:tplc="F2C06B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028F7"/>
    <w:multiLevelType w:val="multilevel"/>
    <w:tmpl w:val="A31E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53717C"/>
    <w:multiLevelType w:val="hybridMultilevel"/>
    <w:tmpl w:val="01682B5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4AA02F61"/>
    <w:multiLevelType w:val="hybridMultilevel"/>
    <w:tmpl w:val="D4D69DB0"/>
    <w:lvl w:ilvl="0" w:tplc="F2C06B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93D6F"/>
    <w:multiLevelType w:val="multilevel"/>
    <w:tmpl w:val="36A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D82AD6"/>
    <w:multiLevelType w:val="multilevel"/>
    <w:tmpl w:val="0F36E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8" w15:restartNumberingAfterBreak="0">
    <w:nsid w:val="6FB841E8"/>
    <w:multiLevelType w:val="multilevel"/>
    <w:tmpl w:val="24067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5F4289"/>
    <w:multiLevelType w:val="hybridMultilevel"/>
    <w:tmpl w:val="2AB6E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2807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91029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0202756">
    <w:abstractNumId w:val="0"/>
  </w:num>
  <w:num w:numId="4" w16cid:durableId="479737188">
    <w:abstractNumId w:val="8"/>
  </w:num>
  <w:num w:numId="5" w16cid:durableId="2139764616">
    <w:abstractNumId w:val="3"/>
  </w:num>
  <w:num w:numId="6" w16cid:durableId="1666323391">
    <w:abstractNumId w:val="6"/>
  </w:num>
  <w:num w:numId="7" w16cid:durableId="1019887868">
    <w:abstractNumId w:val="1"/>
  </w:num>
  <w:num w:numId="8" w16cid:durableId="1852448010">
    <w:abstractNumId w:val="2"/>
  </w:num>
  <w:num w:numId="9" w16cid:durableId="1614750927">
    <w:abstractNumId w:val="5"/>
  </w:num>
  <w:num w:numId="10" w16cid:durableId="1982727078">
    <w:abstractNumId w:val="4"/>
  </w:num>
  <w:num w:numId="11" w16cid:durableId="161549050">
    <w:abstractNumId w:val="1"/>
  </w:num>
  <w:num w:numId="12" w16cid:durableId="1851335992">
    <w:abstractNumId w:val="2"/>
  </w:num>
  <w:num w:numId="13" w16cid:durableId="1897233258">
    <w:abstractNumId w:val="5"/>
  </w:num>
  <w:num w:numId="14" w16cid:durableId="8093973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numFmt w:val="chicago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40D"/>
    <w:rsid w:val="00120B24"/>
    <w:rsid w:val="001571B9"/>
    <w:rsid w:val="00161234"/>
    <w:rsid w:val="001C37F1"/>
    <w:rsid w:val="001E0282"/>
    <w:rsid w:val="002055B0"/>
    <w:rsid w:val="0022605F"/>
    <w:rsid w:val="00253664"/>
    <w:rsid w:val="00274504"/>
    <w:rsid w:val="00295B20"/>
    <w:rsid w:val="003C4063"/>
    <w:rsid w:val="003D6482"/>
    <w:rsid w:val="00522CF4"/>
    <w:rsid w:val="00522E0B"/>
    <w:rsid w:val="005843F3"/>
    <w:rsid w:val="0063654C"/>
    <w:rsid w:val="006B0025"/>
    <w:rsid w:val="006B1C18"/>
    <w:rsid w:val="007944C3"/>
    <w:rsid w:val="007B526A"/>
    <w:rsid w:val="008256AD"/>
    <w:rsid w:val="008719DE"/>
    <w:rsid w:val="008849EF"/>
    <w:rsid w:val="00925AC3"/>
    <w:rsid w:val="00A53762"/>
    <w:rsid w:val="00A97ECE"/>
    <w:rsid w:val="00B3540D"/>
    <w:rsid w:val="00B83D47"/>
    <w:rsid w:val="00BA6B38"/>
    <w:rsid w:val="00BB349B"/>
    <w:rsid w:val="00C051EB"/>
    <w:rsid w:val="00C634DE"/>
    <w:rsid w:val="00D75F76"/>
    <w:rsid w:val="00E56BC4"/>
    <w:rsid w:val="00E6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F510E"/>
  <w15:chartTrackingRefBased/>
  <w15:docId w15:val="{AB882E17-E106-45A4-B3DC-A1A396BA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4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B3540D"/>
    <w:rPr>
      <w:color w:val="0000FF"/>
      <w:u w:val="single"/>
    </w:rPr>
  </w:style>
  <w:style w:type="character" w:customStyle="1" w:styleId="BezproredaChar">
    <w:name w:val="Bez proreda Char"/>
    <w:link w:val="Bezproreda"/>
    <w:uiPriority w:val="1"/>
    <w:locked/>
    <w:rsid w:val="00B3540D"/>
  </w:style>
  <w:style w:type="paragraph" w:styleId="Bezproreda">
    <w:name w:val="No Spacing"/>
    <w:link w:val="BezproredaChar"/>
    <w:uiPriority w:val="1"/>
    <w:qFormat/>
    <w:rsid w:val="00B3540D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3540D"/>
    <w:pPr>
      <w:ind w:left="708"/>
    </w:pPr>
  </w:style>
  <w:style w:type="character" w:styleId="Naglaeno">
    <w:name w:val="Strong"/>
    <w:basedOn w:val="Zadanifontodlomka"/>
    <w:uiPriority w:val="22"/>
    <w:qFormat/>
    <w:rsid w:val="00B3540D"/>
    <w:rPr>
      <w:b/>
      <w:bCs/>
    </w:rPr>
  </w:style>
  <w:style w:type="table" w:styleId="Reetkatablice">
    <w:name w:val="Table Grid"/>
    <w:basedOn w:val="Obinatablica"/>
    <w:uiPriority w:val="39"/>
    <w:rsid w:val="00B3540D"/>
    <w:pPr>
      <w:widowControl w:val="0"/>
      <w:spacing w:after="0" w:line="240" w:lineRule="auto"/>
    </w:pPr>
    <w:rPr>
      <w:rFonts w:ascii="Courier New" w:eastAsia="Courier New" w:hAnsi="Courier New" w:cs="Courier New"/>
      <w:kern w:val="0"/>
      <w:sz w:val="24"/>
      <w:szCs w:val="24"/>
      <w:lang w:eastAsia="hr-HR" w:bidi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semiHidden/>
    <w:unhideWhenUsed/>
    <w:qFormat/>
    <w:rsid w:val="00925AC3"/>
    <w:pPr>
      <w:widowControl w:val="0"/>
      <w:spacing w:after="80" w:line="256" w:lineRule="auto"/>
      <w:ind w:firstLine="400"/>
    </w:pPr>
    <w:rPr>
      <w:rFonts w:ascii="Arial" w:eastAsia="Arial" w:hAnsi="Arial" w:cs="Arial"/>
      <w:sz w:val="18"/>
      <w:szCs w:val="18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semiHidden/>
    <w:rsid w:val="00925AC3"/>
    <w:rPr>
      <w:rFonts w:ascii="Arial" w:eastAsia="Arial" w:hAnsi="Arial" w:cs="Arial"/>
      <w:kern w:val="0"/>
      <w:sz w:val="18"/>
      <w:szCs w:val="18"/>
      <w:lang w:eastAsia="hr-HR" w:bidi="hr-HR"/>
      <w14:ligatures w14:val="none"/>
    </w:rPr>
  </w:style>
  <w:style w:type="character" w:customStyle="1" w:styleId="Heading7">
    <w:name w:val="Heading #7_"/>
    <w:basedOn w:val="Zadanifontodlomka"/>
    <w:link w:val="Heading70"/>
    <w:locked/>
    <w:rsid w:val="00925AC3"/>
    <w:rPr>
      <w:rFonts w:ascii="Arial" w:eastAsia="Arial" w:hAnsi="Arial" w:cs="Arial"/>
      <w:b/>
      <w:bCs/>
      <w:sz w:val="20"/>
      <w:szCs w:val="20"/>
    </w:rPr>
  </w:style>
  <w:style w:type="paragraph" w:customStyle="1" w:styleId="Heading70">
    <w:name w:val="Heading #7"/>
    <w:basedOn w:val="Normal"/>
    <w:link w:val="Heading7"/>
    <w:rsid w:val="00925AC3"/>
    <w:pPr>
      <w:widowControl w:val="0"/>
      <w:spacing w:after="240"/>
      <w:ind w:firstLine="820"/>
      <w:outlineLvl w:val="6"/>
    </w:pPr>
    <w:rPr>
      <w:rFonts w:ascii="Arial" w:eastAsia="Arial" w:hAnsi="Arial" w:cs="Arial"/>
      <w:b/>
      <w:bCs/>
      <w:kern w:val="2"/>
      <w:sz w:val="20"/>
      <w:szCs w:val="20"/>
      <w14:ligatures w14:val="standardContextual"/>
    </w:rPr>
  </w:style>
  <w:style w:type="table" w:customStyle="1" w:styleId="TableGrid1">
    <w:name w:val="Table Grid1"/>
    <w:basedOn w:val="Obinatablica"/>
    <w:uiPriority w:val="39"/>
    <w:rsid w:val="00925AC3"/>
    <w:pPr>
      <w:spacing w:after="0" w:line="240" w:lineRule="auto"/>
    </w:pPr>
    <w:rPr>
      <w:lang w:val="en-US" w:bidi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arodne-novine.nn.hr/clanci/sluzbeni/2013_06_76_1523.html" TargetMode="External"/><Relationship Id="rId18" Type="http://schemas.openxmlformats.org/officeDocument/2006/relationships/hyperlink" Target="https://narodne-novine.nn.hr/clanci/sluzbeni/2018_12_114_2217.html" TargetMode="External"/><Relationship Id="rId26" Type="http://schemas.openxmlformats.org/officeDocument/2006/relationships/hyperlink" Target="https://narodne-novine.nn.hr/clanci/sluzbeni/2009_04_47_1065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arodne-novine.nn.hr/clanci/sluzbeni/2012_07_86_1963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narodne-novine.nn.hr/clanci/sluzbeni/2017_03_20_456.html" TargetMode="External"/><Relationship Id="rId12" Type="http://schemas.openxmlformats.org/officeDocument/2006/relationships/hyperlink" Target="https://narodne-novine.nn.hr/clanci/sluzbeni/2019_04_39_801.html" TargetMode="External"/><Relationship Id="rId17" Type="http://schemas.openxmlformats.org/officeDocument/2006/relationships/hyperlink" Target="https://narodne-novine.nn.hr/clanci/sluzbeni/2015_07_78_1490.html" TargetMode="External"/><Relationship Id="rId25" Type="http://schemas.openxmlformats.org/officeDocument/2006/relationships/hyperlink" Target="https://narodne-novine.nn.hr/clanci/sluzbeni/2015_07_78_1491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arodne-novine.nn.hr/clanci/sluzbeni/2019_04_39_798.html" TargetMode="External"/><Relationship Id="rId20" Type="http://schemas.openxmlformats.org/officeDocument/2006/relationships/hyperlink" Target="https://narodne-novine.nn.hr/clanci/sluzbeni/2018_12_118_2350.html" TargetMode="External"/><Relationship Id="rId29" Type="http://schemas.openxmlformats.org/officeDocument/2006/relationships/hyperlink" Target="https://narodne-novine.nn.hr/clanci/sluzbeni/2014_12_152_285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arodne-novine.nn.hr/clanci/sluzbeni/2013_12_153_3221.html" TargetMode="External"/><Relationship Id="rId11" Type="http://schemas.openxmlformats.org/officeDocument/2006/relationships/hyperlink" Target="https://narodne-novine.nn.hr/clanci/sluzbeni/2018_12_114_2218.html" TargetMode="External"/><Relationship Id="rId24" Type="http://schemas.openxmlformats.org/officeDocument/2006/relationships/hyperlink" Target="https://narodne-novine.nn.hr/clanci/sluzbeni/2019_02_14_280.html" TargetMode="External"/><Relationship Id="rId32" Type="http://schemas.openxmlformats.org/officeDocument/2006/relationships/hyperlink" Target="https://narodne-novine.nn.hr/clanci/sluzbeni/2016_12_115_2521.html" TargetMode="External"/><Relationship Id="rId5" Type="http://schemas.openxmlformats.org/officeDocument/2006/relationships/hyperlink" Target="https://narodne-novine.nn.hr/clanci/sluzbeni/2015_07_78_1491.html" TargetMode="External"/><Relationship Id="rId15" Type="http://schemas.openxmlformats.org/officeDocument/2006/relationships/hyperlink" Target="https://narodne-novine.nn.hr/clanci/sluzbeni/2017_12_130_2990.html" TargetMode="External"/><Relationship Id="rId23" Type="http://schemas.openxmlformats.org/officeDocument/2006/relationships/hyperlink" Target="https://narodne-novine.nn.hr/clanci/sluzbeni/2017_07_65_1495.html" TargetMode="External"/><Relationship Id="rId28" Type="http://schemas.openxmlformats.org/officeDocument/2006/relationships/hyperlink" Target="https://narodne-novine.nn.hr/clanci/sluzbeni/2012_12_143_3036.html" TargetMode="External"/><Relationship Id="rId10" Type="http://schemas.openxmlformats.org/officeDocument/2006/relationships/hyperlink" Target="https://narodne-novine.nn.hr/clanci/sluzbeni/2017_07_65_1494.html" TargetMode="External"/><Relationship Id="rId19" Type="http://schemas.openxmlformats.org/officeDocument/2006/relationships/hyperlink" Target="https://narodne-novine.nn.hr/clanci/sluzbeni/2015_07_78_1489.html" TargetMode="External"/><Relationship Id="rId31" Type="http://schemas.openxmlformats.org/officeDocument/2006/relationships/hyperlink" Target="https://narodne-novine.nn.hr/clanci/sluzbeni/2017_03_29_65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rodne-novine.nn.hr/clanci/sluzbeni/2013_12_153_3220.html" TargetMode="External"/><Relationship Id="rId14" Type="http://schemas.openxmlformats.org/officeDocument/2006/relationships/hyperlink" Target="https://narodne-novine.nn.hr/clanci/sluzbeni/2014_03_30_514.html" TargetMode="External"/><Relationship Id="rId22" Type="http://schemas.openxmlformats.org/officeDocument/2006/relationships/hyperlink" Target="https://narodne-novine.nn.hr/clanci/sluzbeni/2013_12_143_3070.html" TargetMode="External"/><Relationship Id="rId27" Type="http://schemas.openxmlformats.org/officeDocument/2006/relationships/hyperlink" Target="https://narodne-novine.nn.hr/clanci/sluzbeni/2010_02_20_483.html" TargetMode="External"/><Relationship Id="rId30" Type="http://schemas.openxmlformats.org/officeDocument/2006/relationships/hyperlink" Target="https://narodne-novine.nn.hr/clanci/sluzbeni/2016_10_94_2008.html" TargetMode="External"/><Relationship Id="rId8" Type="http://schemas.openxmlformats.org/officeDocument/2006/relationships/hyperlink" Target="https://narodne-novine.nn.hr/clanci/sluzbeni/2019_04_39_80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6620</Words>
  <Characters>37739</Characters>
  <Application>Microsoft Office Word</Application>
  <DocSecurity>0</DocSecurity>
  <Lines>314</Lines>
  <Paragraphs>88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blanka.bobetko.majstorovic@outlook.com</dc:creator>
  <cp:keywords/>
  <dc:description/>
  <cp:lastModifiedBy>blanka.bobetko.majstorovic@outlook.com</cp:lastModifiedBy>
  <cp:revision>6</cp:revision>
  <dcterms:created xsi:type="dcterms:W3CDTF">2024-11-12T12:36:00Z</dcterms:created>
  <dcterms:modified xsi:type="dcterms:W3CDTF">2024-11-12T13:52:00Z</dcterms:modified>
</cp:coreProperties>
</file>